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1B7F" w:rsidTr="00345119">
        <w:tc>
          <w:tcPr>
            <w:tcW w:w="9576" w:type="dxa"/>
            <w:noWrap/>
          </w:tcPr>
          <w:p w:rsidR="008423E4" w:rsidRPr="0022177D" w:rsidRDefault="007307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07EF" w:rsidP="008423E4">
      <w:pPr>
        <w:jc w:val="center"/>
      </w:pPr>
    </w:p>
    <w:p w:rsidR="008423E4" w:rsidRPr="00B31F0E" w:rsidRDefault="007307EF" w:rsidP="008423E4"/>
    <w:p w:rsidR="008423E4" w:rsidRPr="00742794" w:rsidRDefault="007307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1B7F" w:rsidTr="00345119">
        <w:tc>
          <w:tcPr>
            <w:tcW w:w="9576" w:type="dxa"/>
          </w:tcPr>
          <w:p w:rsidR="008423E4" w:rsidRPr="00861995" w:rsidRDefault="007307EF" w:rsidP="00345119">
            <w:pPr>
              <w:jc w:val="right"/>
            </w:pPr>
            <w:r>
              <w:t>C.S.H.B. 1420</w:t>
            </w:r>
          </w:p>
        </w:tc>
      </w:tr>
      <w:tr w:rsidR="007C1B7F" w:rsidTr="00345119">
        <w:tc>
          <w:tcPr>
            <w:tcW w:w="9576" w:type="dxa"/>
          </w:tcPr>
          <w:p w:rsidR="008423E4" w:rsidRPr="00861995" w:rsidRDefault="007307EF" w:rsidP="005C3932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7C1B7F" w:rsidTr="00345119">
        <w:tc>
          <w:tcPr>
            <w:tcW w:w="9576" w:type="dxa"/>
          </w:tcPr>
          <w:p w:rsidR="008423E4" w:rsidRPr="00861995" w:rsidRDefault="007307EF" w:rsidP="00345119">
            <w:pPr>
              <w:jc w:val="right"/>
            </w:pPr>
            <w:r>
              <w:t>Public Health</w:t>
            </w:r>
          </w:p>
        </w:tc>
      </w:tr>
      <w:tr w:rsidR="007C1B7F" w:rsidTr="00345119">
        <w:tc>
          <w:tcPr>
            <w:tcW w:w="9576" w:type="dxa"/>
          </w:tcPr>
          <w:p w:rsidR="008423E4" w:rsidRDefault="007307E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307EF" w:rsidP="008423E4">
      <w:pPr>
        <w:tabs>
          <w:tab w:val="right" w:pos="9360"/>
        </w:tabs>
      </w:pPr>
    </w:p>
    <w:p w:rsidR="008423E4" w:rsidRDefault="007307EF" w:rsidP="008423E4"/>
    <w:p w:rsidR="008423E4" w:rsidRDefault="007307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1B7F" w:rsidTr="00345119">
        <w:tc>
          <w:tcPr>
            <w:tcW w:w="9576" w:type="dxa"/>
          </w:tcPr>
          <w:p w:rsidR="008423E4" w:rsidRPr="00A8133F" w:rsidRDefault="007307EF" w:rsidP="00331E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07EF" w:rsidP="00331E50"/>
          <w:p w:rsidR="008423E4" w:rsidRDefault="007307EF" w:rsidP="00331E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the Texas </w:t>
            </w:r>
            <w:r w:rsidRPr="00AB29C4">
              <w:t xml:space="preserve">border is </w:t>
            </w:r>
            <w:r>
              <w:t xml:space="preserve">disproportionately </w:t>
            </w:r>
            <w:r w:rsidRPr="00AB29C4">
              <w:t>affected by obesity</w:t>
            </w:r>
            <w:r>
              <w:t xml:space="preserve"> and</w:t>
            </w:r>
            <w:r w:rsidRPr="00AB29C4">
              <w:t xml:space="preserve"> diabetes, along with many other health issues</w:t>
            </w:r>
            <w:r>
              <w:t xml:space="preserve"> and pub</w:t>
            </w:r>
            <w:r>
              <w:t>l</w:t>
            </w:r>
            <w:r>
              <w:t xml:space="preserve">ic health social factors that differ from other areas of the state. It has been </w:t>
            </w:r>
            <w:r>
              <w:t xml:space="preserve">suggested </w:t>
            </w:r>
            <w:r>
              <w:t>that</w:t>
            </w:r>
            <w:r>
              <w:t xml:space="preserve"> </w:t>
            </w:r>
            <w:r w:rsidRPr="00AB29C4">
              <w:t xml:space="preserve">the </w:t>
            </w:r>
            <w:r>
              <w:t xml:space="preserve">membership of the </w:t>
            </w:r>
            <w:r>
              <w:t>p</w:t>
            </w:r>
            <w:r w:rsidRPr="00AB29C4">
              <w:t xml:space="preserve">ublic </w:t>
            </w:r>
            <w:r>
              <w:t>h</w:t>
            </w:r>
            <w:r w:rsidRPr="00AB29C4">
              <w:t xml:space="preserve">ealth </w:t>
            </w:r>
            <w:r>
              <w:t>f</w:t>
            </w:r>
            <w:r w:rsidRPr="00AB29C4">
              <w:t xml:space="preserve">unding and </w:t>
            </w:r>
            <w:r>
              <w:t>p</w:t>
            </w:r>
            <w:r w:rsidRPr="00AB29C4">
              <w:t xml:space="preserve">olicy </w:t>
            </w:r>
            <w:r>
              <w:t>c</w:t>
            </w:r>
            <w:r w:rsidRPr="00AB29C4">
              <w:t>ommittee</w:t>
            </w:r>
            <w:r>
              <w:t xml:space="preserve"> within the D</w:t>
            </w:r>
            <w:r w:rsidRPr="00AB29C4">
              <w:t>epartment</w:t>
            </w:r>
            <w:r>
              <w:t xml:space="preserve"> of State Health Services</w:t>
            </w:r>
            <w:r w:rsidRPr="00AB29C4">
              <w:t xml:space="preserve"> </w:t>
            </w:r>
            <w:r>
              <w:t>would benefit from</w:t>
            </w:r>
            <w:r w:rsidRPr="00AB29C4">
              <w:t xml:space="preserve"> </w:t>
            </w:r>
            <w:r w:rsidRPr="00AB29C4">
              <w:t>hav</w:t>
            </w:r>
            <w:r>
              <w:t>ing</w:t>
            </w:r>
            <w:r w:rsidRPr="00AB29C4">
              <w:t xml:space="preserve"> </w:t>
            </w:r>
            <w:r>
              <w:t>a</w:t>
            </w:r>
            <w:r w:rsidRPr="00AB29C4">
              <w:t xml:space="preserve"> </w:t>
            </w:r>
            <w:r w:rsidRPr="00AB29C4">
              <w:t>representati</w:t>
            </w:r>
            <w:r w:rsidRPr="00AB29C4">
              <w:t>ve</w:t>
            </w:r>
            <w:r>
              <w:t xml:space="preserve"> </w:t>
            </w:r>
            <w:r w:rsidRPr="00AB29C4">
              <w:t xml:space="preserve">from the </w:t>
            </w:r>
            <w:r w:rsidRPr="00E40306">
              <w:t>Task Force of Border Health Officials</w:t>
            </w:r>
            <w:r w:rsidRPr="00AB29C4">
              <w:t xml:space="preserve">. </w:t>
            </w:r>
            <w:r w:rsidRPr="00FD19A0">
              <w:t>C.S.</w:t>
            </w:r>
            <w:r w:rsidRPr="00AB29C4">
              <w:t xml:space="preserve">H.B. 1420 seeks to </w:t>
            </w:r>
            <w:r>
              <w:t>provide for such representation by revising the committee's composition</w:t>
            </w:r>
            <w:r>
              <w:t xml:space="preserve"> and duties</w:t>
            </w:r>
            <w:r w:rsidRPr="00AB29C4"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7307EF" w:rsidP="00331E50">
            <w:pPr>
              <w:rPr>
                <w:b/>
              </w:rPr>
            </w:pPr>
          </w:p>
        </w:tc>
      </w:tr>
      <w:tr w:rsidR="007C1B7F" w:rsidTr="00345119">
        <w:tc>
          <w:tcPr>
            <w:tcW w:w="9576" w:type="dxa"/>
          </w:tcPr>
          <w:p w:rsidR="0017725B" w:rsidRDefault="007307EF" w:rsidP="00331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07EF" w:rsidP="00331E50">
            <w:pPr>
              <w:rPr>
                <w:b/>
                <w:u w:val="single"/>
              </w:rPr>
            </w:pPr>
          </w:p>
          <w:p w:rsidR="003E77D7" w:rsidRPr="003E77D7" w:rsidRDefault="007307EF" w:rsidP="00331E50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07EF" w:rsidP="00331E50">
            <w:pPr>
              <w:rPr>
                <w:b/>
                <w:u w:val="single"/>
              </w:rPr>
            </w:pPr>
          </w:p>
        </w:tc>
      </w:tr>
      <w:tr w:rsidR="007C1B7F" w:rsidTr="00345119">
        <w:tc>
          <w:tcPr>
            <w:tcW w:w="9576" w:type="dxa"/>
          </w:tcPr>
          <w:p w:rsidR="008423E4" w:rsidRPr="00A8133F" w:rsidRDefault="007307EF" w:rsidP="00331E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07EF" w:rsidP="00331E50"/>
          <w:p w:rsidR="003E77D7" w:rsidRDefault="007307EF" w:rsidP="00331E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7307EF" w:rsidP="00331E50">
            <w:pPr>
              <w:rPr>
                <w:b/>
              </w:rPr>
            </w:pPr>
          </w:p>
        </w:tc>
      </w:tr>
      <w:tr w:rsidR="007C1B7F" w:rsidTr="00345119">
        <w:tc>
          <w:tcPr>
            <w:tcW w:w="9576" w:type="dxa"/>
          </w:tcPr>
          <w:p w:rsidR="008423E4" w:rsidRPr="00A8133F" w:rsidRDefault="007307EF" w:rsidP="00331E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7307EF" w:rsidP="00331E50"/>
          <w:p w:rsidR="00701122" w:rsidRDefault="007307EF" w:rsidP="00331E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D19A0">
              <w:t>C.S.</w:t>
            </w:r>
            <w:r>
              <w:t>H.B. 1</w:t>
            </w:r>
            <w:r>
              <w:t>42</w:t>
            </w:r>
            <w:r>
              <w:t xml:space="preserve">0 amends the Health and Safety Code to increase from </w:t>
            </w:r>
            <w:r>
              <w:t xml:space="preserve">nine </w:t>
            </w:r>
            <w:r>
              <w:t>to 10</w:t>
            </w:r>
            <w:r>
              <w:t xml:space="preserve"> the number of members the commissioner of </w:t>
            </w:r>
            <w:r>
              <w:t>state health services</w:t>
            </w:r>
            <w:r>
              <w:t xml:space="preserve"> </w:t>
            </w:r>
            <w:r>
              <w:t xml:space="preserve">is required to appoint to the public health funding and policy committee by adding </w:t>
            </w:r>
            <w:r w:rsidRPr="002E2DE3">
              <w:t xml:space="preserve">one representative from </w:t>
            </w:r>
            <w:r>
              <w:t xml:space="preserve">the </w:t>
            </w:r>
            <w:r>
              <w:t xml:space="preserve">Task Force of Border Health Officials. The bill establishes that the </w:t>
            </w:r>
            <w:r>
              <w:t xml:space="preserve">two </w:t>
            </w:r>
            <w:r>
              <w:t>committee members who are regional health directors are ex officio nonvoti</w:t>
            </w:r>
            <w:r>
              <w:t xml:space="preserve">ng members. The bill changes the entities who submit nominations for committee members </w:t>
            </w:r>
            <w:r>
              <w:t xml:space="preserve">other than </w:t>
            </w:r>
            <w:r>
              <w:t>regional health directors from associations representing local health departments, c</w:t>
            </w:r>
            <w:r>
              <w:t>ounty governments, and municipal governments to the entity, institution, or task force of which the nominated member is an employee or member</w:t>
            </w:r>
            <w:r w:rsidRPr="002E2DE3">
              <w:t>.</w:t>
            </w:r>
            <w:r>
              <w:t xml:space="preserve"> The bill </w:t>
            </w:r>
            <w:r>
              <w:t xml:space="preserve">establishes that the presiding officer of the committee serves for a term of two years. </w:t>
            </w:r>
          </w:p>
          <w:p w:rsidR="00701122" w:rsidRDefault="007307EF" w:rsidP="00331E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2CEB" w:rsidRDefault="007307EF" w:rsidP="004F2CEB">
            <w:pPr>
              <w:pStyle w:val="Header"/>
              <w:jc w:val="both"/>
            </w:pPr>
            <w:r>
              <w:t>C.S.H.B. 1420</w:t>
            </w:r>
            <w:r>
              <w:t xml:space="preserve"> </w:t>
            </w:r>
            <w:r>
              <w:t>revises the general duties of the committee</w:t>
            </w:r>
            <w:r>
              <w:t xml:space="preserve"> to require the committee to</w:t>
            </w:r>
            <w:r>
              <w:t>:</w:t>
            </w:r>
          </w:p>
          <w:p w:rsidR="004F2CEB" w:rsidRDefault="007307EF" w:rsidP="00793911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summarize the scope and type of public health services provided by local health entities, with a focus on differences in the availability of services in urban, rural, and border areas</w:t>
            </w:r>
            <w:r>
              <w:t xml:space="preserve"> of this state;</w:t>
            </w:r>
          </w:p>
          <w:p w:rsidR="004F2CEB" w:rsidRDefault="007307EF" w:rsidP="00793911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monitor the availability of public health services in this state, identify the disparity between services and funding for those services, and develop recommendations to address the disparity;</w:t>
            </w:r>
          </w:p>
          <w:p w:rsidR="004F2CEB" w:rsidRDefault="007307EF" w:rsidP="00793911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recommend health issue priorities for this state</w:t>
            </w:r>
            <w:r>
              <w:t xml:space="preserve"> and coordinate efforts to address the priorities with the </w:t>
            </w:r>
            <w:r>
              <w:t>Department of State Health Services (DSHS)</w:t>
            </w:r>
            <w:r>
              <w:t>; and</w:t>
            </w:r>
          </w:p>
          <w:p w:rsidR="004F2CEB" w:rsidRDefault="007307EF" w:rsidP="00793911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at least biennially make formal recommendations to the </w:t>
            </w:r>
            <w:r>
              <w:t>DSHS</w:t>
            </w:r>
            <w:r>
              <w:t xml:space="preserve"> regarding certain matters.</w:t>
            </w:r>
          </w:p>
          <w:p w:rsidR="004F2CEB" w:rsidRDefault="007307EF" w:rsidP="004F2C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B19D5" w:rsidRDefault="007307EF" w:rsidP="004F2C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1420 changes from annually to biennially</w:t>
            </w:r>
            <w:r>
              <w:t xml:space="preserve"> the frequen</w:t>
            </w:r>
            <w:r>
              <w:t xml:space="preserve">cy with which </w:t>
            </w:r>
            <w:r>
              <w:t>the</w:t>
            </w:r>
            <w:r>
              <w:t xml:space="preserve"> </w:t>
            </w:r>
            <w:r>
              <w:t xml:space="preserve">DSHS </w:t>
            </w:r>
            <w:r>
              <w:t xml:space="preserve">is required to file </w:t>
            </w:r>
            <w:r>
              <w:t>a</w:t>
            </w:r>
            <w:r>
              <w:t xml:space="preserve"> report </w:t>
            </w:r>
            <w:r>
              <w:t xml:space="preserve">with the governor, lieutenant governor, and speaker of the house of representatives </w:t>
            </w:r>
            <w:r>
              <w:t>detailing the committee's recommendations</w:t>
            </w:r>
            <w:r>
              <w:t xml:space="preserve">. </w:t>
            </w:r>
            <w:r>
              <w:t xml:space="preserve">The bill requires the committee to meet with the Task Force of Border Health </w:t>
            </w:r>
            <w:r>
              <w:t xml:space="preserve">Officials at least annually and at the call </w:t>
            </w:r>
            <w:r>
              <w:t xml:space="preserve">of </w:t>
            </w:r>
            <w:r w:rsidRPr="00645ED4">
              <w:t>the respective presiding officers</w:t>
            </w:r>
            <w:r>
              <w:t xml:space="preserve">. </w:t>
            </w:r>
            <w:r>
              <w:t xml:space="preserve">The bill requires the task force to meet with the </w:t>
            </w:r>
            <w:r w:rsidRPr="004B19D5">
              <w:t xml:space="preserve">Public Health Funding and Policy Committee </w:t>
            </w:r>
            <w:r>
              <w:t xml:space="preserve">at least </w:t>
            </w:r>
            <w:r w:rsidRPr="004B19D5">
              <w:t xml:space="preserve">annually and at the call of the </w:t>
            </w:r>
            <w:r>
              <w:t xml:space="preserve">respective </w:t>
            </w:r>
            <w:r w:rsidRPr="004B19D5">
              <w:t>presiding officers</w:t>
            </w:r>
            <w:r>
              <w:t>.</w:t>
            </w:r>
          </w:p>
          <w:p w:rsidR="008423E4" w:rsidRPr="00835628" w:rsidRDefault="007307EF" w:rsidP="00331E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7C1B7F" w:rsidTr="00345119">
        <w:tc>
          <w:tcPr>
            <w:tcW w:w="9576" w:type="dxa"/>
          </w:tcPr>
          <w:p w:rsidR="008423E4" w:rsidRPr="00A8133F" w:rsidRDefault="007307EF" w:rsidP="00331E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07EF" w:rsidP="00331E50"/>
          <w:p w:rsidR="008423E4" w:rsidRPr="003624F2" w:rsidRDefault="007307EF" w:rsidP="00331E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307EF" w:rsidP="00331E50">
            <w:pPr>
              <w:rPr>
                <w:b/>
              </w:rPr>
            </w:pPr>
          </w:p>
        </w:tc>
      </w:tr>
      <w:tr w:rsidR="007C1B7F" w:rsidTr="00345119">
        <w:tc>
          <w:tcPr>
            <w:tcW w:w="9576" w:type="dxa"/>
          </w:tcPr>
          <w:p w:rsidR="005C3932" w:rsidRDefault="007307EF" w:rsidP="005C393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C3D87" w:rsidRDefault="007307EF" w:rsidP="005C3932">
            <w:pPr>
              <w:jc w:val="both"/>
              <w:rPr>
                <w:b/>
                <w:u w:val="single"/>
              </w:rPr>
            </w:pPr>
          </w:p>
          <w:p w:rsidR="00813577" w:rsidRDefault="007307EF" w:rsidP="00813577">
            <w:pPr>
              <w:jc w:val="both"/>
            </w:pPr>
            <w:r>
              <w:t xml:space="preserve">While C.S.H.B. 1420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813577" w:rsidRDefault="007307EF" w:rsidP="00813577">
            <w:pPr>
              <w:jc w:val="both"/>
            </w:pPr>
          </w:p>
          <w:p w:rsidR="00813577" w:rsidRDefault="007307EF" w:rsidP="00813577">
            <w:pPr>
              <w:jc w:val="both"/>
            </w:pPr>
            <w:r>
              <w:t>The substitute changes the member added to the committee from a representative from the DSHS Office of Border Health to a representative of the Task Force of Border Health Officials.</w:t>
            </w:r>
          </w:p>
          <w:p w:rsidR="00813577" w:rsidRDefault="007307EF" w:rsidP="00813577">
            <w:pPr>
              <w:jc w:val="both"/>
            </w:pPr>
          </w:p>
          <w:p w:rsidR="00813577" w:rsidRDefault="007307EF" w:rsidP="00813577">
            <w:pPr>
              <w:jc w:val="both"/>
            </w:pPr>
            <w:r>
              <w:t>The substitute includes:</w:t>
            </w:r>
          </w:p>
          <w:p w:rsidR="00813577" w:rsidRDefault="007307EF" w:rsidP="0081357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provision c</w:t>
            </w:r>
            <w:r>
              <w:t>hanging the entities who submit nominations from whom the commissioner is required to select members of the committee;</w:t>
            </w:r>
          </w:p>
          <w:p w:rsidR="00813577" w:rsidRDefault="007307EF" w:rsidP="0081357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provision specifying that certain members are ex officio nonvoting members;</w:t>
            </w:r>
          </w:p>
          <w:p w:rsidR="00813577" w:rsidRDefault="007307EF" w:rsidP="0081357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provision establishing that the presiding officer</w:t>
            </w:r>
            <w:r>
              <w:t xml:space="preserve"> serves for a term of two years;</w:t>
            </w:r>
          </w:p>
          <w:p w:rsidR="00813577" w:rsidRDefault="007307EF" w:rsidP="0081357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requirement for the committee to meet with the Task Force of Border Health Officials at least annually and at the call of the respective presiding officers;</w:t>
            </w:r>
          </w:p>
          <w:p w:rsidR="00813577" w:rsidRDefault="007307EF" w:rsidP="0081357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provision revising the duties of the committee;</w:t>
            </w:r>
          </w:p>
          <w:p w:rsidR="00813577" w:rsidRDefault="007307EF" w:rsidP="0081357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provision ch</w:t>
            </w:r>
            <w:r>
              <w:t>anging the frequency with which DSHS is required to file a report regarding the committee; and</w:t>
            </w:r>
          </w:p>
          <w:p w:rsidR="00813577" w:rsidRPr="00FE67C3" w:rsidRDefault="007307EF" w:rsidP="0081357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 requirement for the task force to meet with the </w:t>
            </w:r>
            <w:r w:rsidRPr="00645ED4">
              <w:t>Public Healt</w:t>
            </w:r>
            <w:r>
              <w:t xml:space="preserve">h Funding and Policy Committee at least annually </w:t>
            </w:r>
            <w:r w:rsidRPr="00645ED4">
              <w:t>and at the call of the respective presiding office</w:t>
            </w:r>
            <w:r w:rsidRPr="00645ED4">
              <w:t>rs.</w:t>
            </w:r>
          </w:p>
          <w:p w:rsidR="00813577" w:rsidRPr="005C3932" w:rsidRDefault="007307EF" w:rsidP="005C3932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7307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07E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07EF">
      <w:r>
        <w:separator/>
      </w:r>
    </w:p>
  </w:endnote>
  <w:endnote w:type="continuationSeparator" w:id="0">
    <w:p w:rsidR="00000000" w:rsidRDefault="0073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1B7F" w:rsidTr="009C1E9A">
      <w:trPr>
        <w:cantSplit/>
      </w:trPr>
      <w:tc>
        <w:tcPr>
          <w:tcW w:w="0" w:type="pct"/>
        </w:tcPr>
        <w:p w:rsidR="00137D90" w:rsidRDefault="007307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07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07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07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07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B7F" w:rsidTr="009C1E9A">
      <w:trPr>
        <w:cantSplit/>
      </w:trPr>
      <w:tc>
        <w:tcPr>
          <w:tcW w:w="0" w:type="pct"/>
        </w:tcPr>
        <w:p w:rsidR="00EC379B" w:rsidRDefault="007307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07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28865</w:t>
          </w:r>
        </w:p>
      </w:tc>
      <w:tc>
        <w:tcPr>
          <w:tcW w:w="2453" w:type="pct"/>
        </w:tcPr>
        <w:p w:rsidR="00EC379B" w:rsidRDefault="007307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19.108.1668</w:t>
          </w:r>
          <w:r>
            <w:fldChar w:fldCharType="end"/>
          </w:r>
        </w:p>
      </w:tc>
    </w:tr>
    <w:tr w:rsidR="007C1B7F" w:rsidTr="009C1E9A">
      <w:trPr>
        <w:cantSplit/>
      </w:trPr>
      <w:tc>
        <w:tcPr>
          <w:tcW w:w="0" w:type="pct"/>
        </w:tcPr>
        <w:p w:rsidR="00EC379B" w:rsidRDefault="007307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07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24849</w:t>
          </w:r>
        </w:p>
      </w:tc>
      <w:tc>
        <w:tcPr>
          <w:tcW w:w="2453" w:type="pct"/>
        </w:tcPr>
        <w:p w:rsidR="00EC379B" w:rsidRDefault="007307EF" w:rsidP="006D504F">
          <w:pPr>
            <w:pStyle w:val="Footer"/>
            <w:rPr>
              <w:rStyle w:val="PageNumber"/>
            </w:rPr>
          </w:pPr>
        </w:p>
        <w:p w:rsidR="00EC379B" w:rsidRDefault="007307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B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07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307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07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07EF">
      <w:r>
        <w:separator/>
      </w:r>
    </w:p>
  </w:footnote>
  <w:footnote w:type="continuationSeparator" w:id="0">
    <w:p w:rsidR="00000000" w:rsidRDefault="0073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2F2B"/>
    <w:multiLevelType w:val="hybridMultilevel"/>
    <w:tmpl w:val="7B8C1B52"/>
    <w:lvl w:ilvl="0" w:tplc="8EE8D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AB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2B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CD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65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84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43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E3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A9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4C1C"/>
    <w:multiLevelType w:val="hybridMultilevel"/>
    <w:tmpl w:val="2B945490"/>
    <w:lvl w:ilvl="0" w:tplc="2B26A08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D026F98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9F60C690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AFC8AC4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95C02A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9738AC02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570B0BE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E80EE4B6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94C6B7E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2C301B2"/>
    <w:multiLevelType w:val="hybridMultilevel"/>
    <w:tmpl w:val="7B34131C"/>
    <w:lvl w:ilvl="0" w:tplc="8EEC9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B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4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B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6F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E9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CE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6F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ED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460C5"/>
    <w:multiLevelType w:val="hybridMultilevel"/>
    <w:tmpl w:val="74F45974"/>
    <w:lvl w:ilvl="0" w:tplc="BE9AB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CB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22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4F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EB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E5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E4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6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4E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7F"/>
    <w:rsid w:val="007307EF"/>
    <w:rsid w:val="007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6AB20-8DEB-4082-AB7F-35E13389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77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7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77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7D7"/>
    <w:rPr>
      <w:b/>
      <w:bCs/>
    </w:rPr>
  </w:style>
  <w:style w:type="paragraph" w:styleId="ListParagraph">
    <w:name w:val="List Paragraph"/>
    <w:basedOn w:val="Normal"/>
    <w:uiPriority w:val="34"/>
    <w:qFormat/>
    <w:rsid w:val="0064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3828</Characters>
  <Application>Microsoft Office Word</Application>
  <DocSecurity>4</DocSecurity>
  <Lines>89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HB01420 (Committee Report (Substituted))</vt:lpstr>
    </vt:vector>
  </TitlesOfParts>
  <Company>State of Texas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28865</dc:subject>
  <dc:creator>State of Texas</dc:creator>
  <dc:description>HB 1420 by Dominguez-(H)Public Health (Substitute Document Number: 86R 24849)</dc:description>
  <cp:lastModifiedBy>Laura Ramsay</cp:lastModifiedBy>
  <cp:revision>2</cp:revision>
  <cp:lastPrinted>2003-11-26T17:21:00Z</cp:lastPrinted>
  <dcterms:created xsi:type="dcterms:W3CDTF">2019-04-18T23:29:00Z</dcterms:created>
  <dcterms:modified xsi:type="dcterms:W3CDTF">2019-04-18T23:29:00Z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19.108.1668</vt:lpwstr>
  </property>
</Properties>
</file>