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F02EE" w:rsidTr="00345119">
        <w:tc>
          <w:tcPr>
            <w:tcW w:w="9576" w:type="dxa"/>
            <w:noWrap/>
          </w:tcPr>
          <w:p w:rsidR="008423E4" w:rsidRPr="0022177D" w:rsidRDefault="00F1559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1559A" w:rsidP="008423E4">
      <w:pPr>
        <w:jc w:val="center"/>
      </w:pPr>
    </w:p>
    <w:p w:rsidR="008423E4" w:rsidRPr="00B31F0E" w:rsidRDefault="00F1559A" w:rsidP="008423E4"/>
    <w:p w:rsidR="008423E4" w:rsidRPr="00742794" w:rsidRDefault="00F1559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F02EE" w:rsidTr="00345119">
        <w:tc>
          <w:tcPr>
            <w:tcW w:w="9576" w:type="dxa"/>
          </w:tcPr>
          <w:p w:rsidR="008423E4" w:rsidRPr="00861995" w:rsidRDefault="00F1559A" w:rsidP="00307B90">
            <w:pPr>
              <w:jc w:val="right"/>
            </w:pPr>
            <w:r>
              <w:t>C.S.H.B.</w:t>
            </w:r>
            <w:r>
              <w:t xml:space="preserve"> 1422</w:t>
            </w:r>
          </w:p>
        </w:tc>
      </w:tr>
      <w:tr w:rsidR="003F02EE" w:rsidTr="00345119">
        <w:tc>
          <w:tcPr>
            <w:tcW w:w="9576" w:type="dxa"/>
          </w:tcPr>
          <w:p w:rsidR="008423E4" w:rsidRPr="00861995" w:rsidRDefault="00F1559A" w:rsidP="00981DB8">
            <w:pPr>
              <w:jc w:val="right"/>
            </w:pPr>
            <w:r>
              <w:t xml:space="preserve">By: </w:t>
            </w:r>
            <w:r>
              <w:t>Paddie</w:t>
            </w:r>
          </w:p>
        </w:tc>
      </w:tr>
      <w:tr w:rsidR="003F02EE" w:rsidTr="00345119">
        <w:tc>
          <w:tcPr>
            <w:tcW w:w="9576" w:type="dxa"/>
          </w:tcPr>
          <w:p w:rsidR="008423E4" w:rsidRPr="00861995" w:rsidRDefault="00F1559A" w:rsidP="00345119">
            <w:pPr>
              <w:jc w:val="right"/>
            </w:pPr>
            <w:r>
              <w:t>Culture, Recreation &amp; Tourism</w:t>
            </w:r>
          </w:p>
        </w:tc>
      </w:tr>
      <w:tr w:rsidR="003F02EE" w:rsidTr="00345119">
        <w:tc>
          <w:tcPr>
            <w:tcW w:w="9576" w:type="dxa"/>
          </w:tcPr>
          <w:p w:rsidR="008423E4" w:rsidRDefault="00F1559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1559A" w:rsidP="008423E4">
      <w:pPr>
        <w:tabs>
          <w:tab w:val="right" w:pos="9360"/>
        </w:tabs>
      </w:pPr>
    </w:p>
    <w:p w:rsidR="008423E4" w:rsidRDefault="00F1559A" w:rsidP="008423E4"/>
    <w:p w:rsidR="008423E4" w:rsidRDefault="00F1559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F02EE" w:rsidTr="00345119">
        <w:tc>
          <w:tcPr>
            <w:tcW w:w="9576" w:type="dxa"/>
          </w:tcPr>
          <w:p w:rsidR="008423E4" w:rsidRPr="00A8133F" w:rsidRDefault="00F1559A" w:rsidP="00D952B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1559A" w:rsidP="00D952BF"/>
          <w:p w:rsidR="008423E4" w:rsidRDefault="00F1559A" w:rsidP="00D95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46DB6">
              <w:t xml:space="preserve">The Texas Historical Commission </w:t>
            </w:r>
            <w:r>
              <w:t xml:space="preserve">provides leadership and coordinates services in the field of archaeological and historic preservation </w:t>
            </w:r>
            <w:r>
              <w:t xml:space="preserve">and </w:t>
            </w:r>
            <w:r w:rsidRPr="00C46DB6">
              <w:t>is subject to the Texas Sunset Ac</w:t>
            </w:r>
            <w:r>
              <w:t>t</w:t>
            </w:r>
            <w:r>
              <w:t>.</w:t>
            </w:r>
            <w:r w:rsidRPr="00C46DB6">
              <w:t xml:space="preserve"> </w:t>
            </w:r>
            <w:r>
              <w:t>C.S.H.B.</w:t>
            </w:r>
            <w:r w:rsidRPr="00C46DB6">
              <w:t xml:space="preserve"> 1422 </w:t>
            </w:r>
            <w:r>
              <w:t xml:space="preserve">provides for the continuation of the </w:t>
            </w:r>
            <w:r>
              <w:t>commission</w:t>
            </w:r>
            <w:r>
              <w:t xml:space="preserve"> and the implementation of certain recommendations of</w:t>
            </w:r>
            <w:r>
              <w:t xml:space="preserve"> the Sunset Advisory Commission. </w:t>
            </w:r>
          </w:p>
          <w:p w:rsidR="008423E4" w:rsidRPr="00E26B13" w:rsidRDefault="00F1559A" w:rsidP="00D952BF">
            <w:pPr>
              <w:rPr>
                <w:b/>
              </w:rPr>
            </w:pPr>
          </w:p>
        </w:tc>
      </w:tr>
      <w:tr w:rsidR="003F02EE" w:rsidTr="00345119">
        <w:tc>
          <w:tcPr>
            <w:tcW w:w="9576" w:type="dxa"/>
          </w:tcPr>
          <w:p w:rsidR="0017725B" w:rsidRDefault="00F1559A" w:rsidP="00D952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1559A" w:rsidP="00D952BF">
            <w:pPr>
              <w:rPr>
                <w:b/>
                <w:u w:val="single"/>
              </w:rPr>
            </w:pPr>
          </w:p>
          <w:p w:rsidR="006C38A7" w:rsidRPr="006C38A7" w:rsidRDefault="00F1559A" w:rsidP="00D952B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F1559A" w:rsidP="00D952BF">
            <w:pPr>
              <w:rPr>
                <w:b/>
                <w:u w:val="single"/>
              </w:rPr>
            </w:pPr>
          </w:p>
        </w:tc>
      </w:tr>
      <w:tr w:rsidR="003F02EE" w:rsidTr="00345119">
        <w:tc>
          <w:tcPr>
            <w:tcW w:w="9576" w:type="dxa"/>
          </w:tcPr>
          <w:p w:rsidR="008423E4" w:rsidRPr="00A8133F" w:rsidRDefault="00F1559A" w:rsidP="00D952B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1559A" w:rsidP="00D952BF"/>
          <w:p w:rsidR="006C38A7" w:rsidRDefault="00F1559A" w:rsidP="00D95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Historical Commission in SECTION 3 of this bill.</w:t>
            </w:r>
          </w:p>
          <w:p w:rsidR="008423E4" w:rsidRPr="00E21FDC" w:rsidRDefault="00F1559A" w:rsidP="00D952BF">
            <w:pPr>
              <w:rPr>
                <w:b/>
              </w:rPr>
            </w:pPr>
          </w:p>
        </w:tc>
      </w:tr>
      <w:tr w:rsidR="003F02EE" w:rsidTr="00345119">
        <w:tc>
          <w:tcPr>
            <w:tcW w:w="9576" w:type="dxa"/>
          </w:tcPr>
          <w:p w:rsidR="008423E4" w:rsidRPr="00A8133F" w:rsidRDefault="00F1559A" w:rsidP="00D952B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1559A" w:rsidP="00D952BF"/>
          <w:p w:rsidR="00436FF4" w:rsidRDefault="00F1559A" w:rsidP="00D952BF">
            <w:pPr>
              <w:pStyle w:val="Header"/>
              <w:jc w:val="both"/>
            </w:pPr>
            <w:r>
              <w:t>C.S.H.B.</w:t>
            </w:r>
            <w:r>
              <w:t xml:space="preserve"> 1422 amends the Government Code to </w:t>
            </w:r>
            <w:r>
              <w:t>postpone</w:t>
            </w:r>
            <w:r>
              <w:t xml:space="preserve"> the </w:t>
            </w:r>
            <w:r>
              <w:t xml:space="preserve">date on which the </w:t>
            </w:r>
            <w:r>
              <w:t xml:space="preserve">Texas Historical Commission </w:t>
            </w:r>
            <w:r>
              <w:t>is abolished and related provisions expire</w:t>
            </w:r>
            <w:r>
              <w:t xml:space="preserve"> unless continued in existence as provided by the Texas Sunset Act</w:t>
            </w:r>
            <w:r>
              <w:t xml:space="preserve"> from September 1, 20</w:t>
            </w:r>
            <w:r>
              <w:t>19, to</w:t>
            </w:r>
            <w:r>
              <w:t xml:space="preserve"> </w:t>
            </w:r>
            <w:r>
              <w:t>Septem</w:t>
            </w:r>
            <w:r>
              <w:t xml:space="preserve">ber 1, 2031. </w:t>
            </w:r>
          </w:p>
          <w:p w:rsidR="00436FF4" w:rsidRDefault="00F1559A" w:rsidP="00D952BF">
            <w:pPr>
              <w:pStyle w:val="Header"/>
              <w:jc w:val="both"/>
            </w:pPr>
          </w:p>
          <w:p w:rsidR="00F1596A" w:rsidRDefault="00F1559A" w:rsidP="00D952BF">
            <w:pPr>
              <w:pStyle w:val="Header"/>
              <w:jc w:val="both"/>
            </w:pPr>
            <w:r>
              <w:t>C.S.H.B.</w:t>
            </w:r>
            <w:r>
              <w:t xml:space="preserve"> 1422</w:t>
            </w:r>
            <w:r w:rsidRPr="0085625B">
              <w:t xml:space="preserve"> </w:t>
            </w:r>
            <w:r>
              <w:t xml:space="preserve">revises </w:t>
            </w:r>
            <w:r>
              <w:t xml:space="preserve">the information </w:t>
            </w:r>
            <w:r>
              <w:t>required to be provided in the</w:t>
            </w:r>
            <w:r>
              <w:t xml:space="preserve"> training program</w:t>
            </w:r>
            <w:r>
              <w:t xml:space="preserve"> for commission members</w:t>
            </w:r>
            <w:r>
              <w:t xml:space="preserve">, requires the executive </w:t>
            </w:r>
            <w:r>
              <w:t xml:space="preserve">director </w:t>
            </w:r>
            <w:r>
              <w:t>of the commission to create and annually distribute a</w:t>
            </w:r>
            <w:r>
              <w:t xml:space="preserve"> </w:t>
            </w:r>
            <w:r>
              <w:t xml:space="preserve">copy of a </w:t>
            </w:r>
            <w:r>
              <w:t>related training manual</w:t>
            </w:r>
            <w:r>
              <w:t xml:space="preserve"> to each </w:t>
            </w:r>
            <w:r>
              <w:t>mem</w:t>
            </w:r>
            <w:r>
              <w:t>ber, and requires each</w:t>
            </w:r>
            <w:r>
              <w:t xml:space="preserve"> member to sign and submit to the executive director a statement acknowledging receipt of the manual</w:t>
            </w:r>
            <w:r>
              <w:t>.</w:t>
            </w:r>
            <w:r>
              <w:t xml:space="preserve"> </w:t>
            </w:r>
            <w:r>
              <w:t>The</w:t>
            </w:r>
            <w:r>
              <w:t>se</w:t>
            </w:r>
            <w:r>
              <w:t xml:space="preserve"> training provisions appl</w:t>
            </w:r>
            <w:r>
              <w:t>y</w:t>
            </w:r>
            <w:r w:rsidRPr="00F1596A">
              <w:t xml:space="preserve"> to a member appointed before, on, or after the </w:t>
            </w:r>
            <w:r>
              <w:t xml:space="preserve">bill's </w:t>
            </w:r>
            <w:r w:rsidRPr="00F1596A">
              <w:t>effective date</w:t>
            </w:r>
            <w:r>
              <w:t>, except</w:t>
            </w:r>
            <w:r>
              <w:t xml:space="preserve"> </w:t>
            </w:r>
            <w:r>
              <w:t>that a</w:t>
            </w:r>
            <w:r>
              <w:t xml:space="preserve"> </w:t>
            </w:r>
            <w:r>
              <w:t>member</w:t>
            </w:r>
            <w:r>
              <w:t xml:space="preserve"> who compl</w:t>
            </w:r>
            <w:r>
              <w:t xml:space="preserve">eted </w:t>
            </w:r>
            <w:r>
              <w:t xml:space="preserve">the </w:t>
            </w:r>
            <w:r>
              <w:t>training program before the bill's effective date</w:t>
            </w:r>
            <w:r>
              <w:t xml:space="preserve"> is required to complete additional training only on subjects added by the bill and</w:t>
            </w:r>
            <w:r>
              <w:t xml:space="preserve"> </w:t>
            </w:r>
            <w:r>
              <w:t>may not</w:t>
            </w:r>
            <w:r>
              <w:t xml:space="preserve"> </w:t>
            </w:r>
            <w:r>
              <w:t>vot</w:t>
            </w:r>
            <w:r>
              <w:t>e</w:t>
            </w:r>
            <w:r>
              <w:t>, deliberat</w:t>
            </w:r>
            <w:r>
              <w:t>e</w:t>
            </w:r>
            <w:r>
              <w:t xml:space="preserve">, or be counted as a member in attendance at </w:t>
            </w:r>
            <w:r>
              <w:t xml:space="preserve">a </w:t>
            </w:r>
            <w:r>
              <w:t xml:space="preserve">commission meeting held on or after December 1, 2019, until </w:t>
            </w:r>
            <w:r>
              <w:t>the member completes</w:t>
            </w:r>
            <w:r>
              <w:t xml:space="preserve"> the additional training</w:t>
            </w:r>
            <w:r>
              <w:t>.</w:t>
            </w:r>
          </w:p>
          <w:p w:rsidR="00F1596A" w:rsidRDefault="00F1559A" w:rsidP="00D952BF">
            <w:pPr>
              <w:pStyle w:val="Header"/>
              <w:jc w:val="both"/>
            </w:pPr>
          </w:p>
          <w:p w:rsidR="00E66000" w:rsidRDefault="00F1559A" w:rsidP="00D952BF">
            <w:pPr>
              <w:pStyle w:val="Header"/>
              <w:jc w:val="both"/>
            </w:pPr>
            <w:r>
              <w:t>C.S.H.B.</w:t>
            </w:r>
            <w:r>
              <w:t xml:space="preserve"> </w:t>
            </w:r>
            <w:r>
              <w:t>1422</w:t>
            </w:r>
            <w:r>
              <w:t xml:space="preserve"> </w:t>
            </w:r>
            <w:r>
              <w:t>authorizes</w:t>
            </w:r>
            <w:r>
              <w:t xml:space="preserve"> the</w:t>
            </w:r>
            <w:r>
              <w:t xml:space="preserve"> </w:t>
            </w:r>
            <w:r w:rsidRPr="00A41EF7">
              <w:t xml:space="preserve">commission by order or rule </w:t>
            </w:r>
            <w:r>
              <w:t xml:space="preserve">to </w:t>
            </w:r>
            <w:r w:rsidRPr="00A41EF7">
              <w:t xml:space="preserve">delegate to </w:t>
            </w:r>
            <w:r>
              <w:t>the</w:t>
            </w:r>
            <w:r w:rsidRPr="00A41EF7">
              <w:t xml:space="preserve"> executive director the authority to perform the duties or exercise the po</w:t>
            </w:r>
            <w:r w:rsidRPr="00A41EF7">
              <w:t xml:space="preserve">wers of the commission </w:t>
            </w:r>
            <w:r>
              <w:t>and authorizes such a</w:t>
            </w:r>
            <w:r w:rsidRPr="00A41EF7">
              <w:t xml:space="preserve"> delegation </w:t>
            </w:r>
            <w:r>
              <w:t xml:space="preserve">to </w:t>
            </w:r>
            <w:r w:rsidRPr="00A41EF7">
              <w:t>be amended or withdrawn by commission vote.</w:t>
            </w:r>
            <w:r>
              <w:t xml:space="preserve"> The bill </w:t>
            </w:r>
            <w:r>
              <w:t>authorizes the commission to</w:t>
            </w:r>
            <w:r w:rsidRPr="00FD384B">
              <w:t xml:space="preserve"> establish and administer the Texas Heritage Trails Program to promote tourism to heritage and cultural attractions </w:t>
            </w:r>
            <w:r w:rsidRPr="00FD384B">
              <w:t xml:space="preserve">in </w:t>
            </w:r>
            <w:r>
              <w:t xml:space="preserve">Texas and </w:t>
            </w:r>
            <w:r>
              <w:t xml:space="preserve">authorizes the commission </w:t>
            </w:r>
            <w:r>
              <w:t xml:space="preserve">to contract with </w:t>
            </w:r>
            <w:r w:rsidRPr="00FD384B">
              <w:t>one or more nonprofit organizations to fulfill the commis</w:t>
            </w:r>
            <w:r>
              <w:t>sion's duties relatin</w:t>
            </w:r>
            <w:r>
              <w:t>g</w:t>
            </w:r>
            <w:r>
              <w:t xml:space="preserve"> to the program. </w:t>
            </w:r>
            <w:r w:rsidRPr="00FD384B">
              <w:t xml:space="preserve">The </w:t>
            </w:r>
            <w:r>
              <w:t xml:space="preserve">bill requires the </w:t>
            </w:r>
            <w:r w:rsidRPr="00FD384B">
              <w:t>commission</w:t>
            </w:r>
            <w:r w:rsidRPr="00121C79">
              <w:t>, not later than November 1, 2019</w:t>
            </w:r>
            <w:r>
              <w:t>,</w:t>
            </w:r>
            <w:r w:rsidRPr="00FD384B">
              <w:t xml:space="preserve"> </w:t>
            </w:r>
            <w:r>
              <w:t xml:space="preserve">to </w:t>
            </w:r>
            <w:r w:rsidRPr="00FD384B">
              <w:t xml:space="preserve">adopt rules to administer the </w:t>
            </w:r>
            <w:r>
              <w:t>prog</w:t>
            </w:r>
            <w:r>
              <w:t>ram</w:t>
            </w:r>
            <w:r>
              <w:t>, including rules defining the principles of heritage tourism and relating to contracts with nonprofit organizations</w:t>
            </w:r>
            <w:r>
              <w:t>,</w:t>
            </w:r>
            <w:r>
              <w:t xml:space="preserve"> and sets out requirements for th</w:t>
            </w:r>
            <w:r>
              <w:t>ose</w:t>
            </w:r>
            <w:r>
              <w:t xml:space="preserve"> </w:t>
            </w:r>
            <w:r>
              <w:t xml:space="preserve">contract-related </w:t>
            </w:r>
            <w:r>
              <w:t>rules.</w:t>
            </w:r>
            <w:r>
              <w:t xml:space="preserve"> </w:t>
            </w:r>
          </w:p>
          <w:p w:rsidR="00E66000" w:rsidRDefault="00F1559A" w:rsidP="00D952BF">
            <w:pPr>
              <w:pStyle w:val="Header"/>
              <w:jc w:val="both"/>
            </w:pPr>
          </w:p>
          <w:p w:rsidR="00AB49B4" w:rsidRDefault="00F1559A" w:rsidP="00D952BF">
            <w:pPr>
              <w:pStyle w:val="Header"/>
              <w:jc w:val="both"/>
            </w:pPr>
            <w:r>
              <w:t>C.S.H.B.</w:t>
            </w:r>
            <w:r>
              <w:t xml:space="preserve"> 1422 </w:t>
            </w:r>
            <w:r>
              <w:t>authorize</w:t>
            </w:r>
            <w:r>
              <w:t>s</w:t>
            </w:r>
            <w:r>
              <w:t xml:space="preserve"> a state agency that maintain</w:t>
            </w:r>
            <w:r>
              <w:t>s</w:t>
            </w:r>
            <w:r>
              <w:t xml:space="preserve"> </w:t>
            </w:r>
            <w:r w:rsidRPr="00FA3A49">
              <w:t>a</w:t>
            </w:r>
            <w:r>
              <w:t xml:space="preserve"> qualifying </w:t>
            </w:r>
            <w:r>
              <w:t xml:space="preserve">archaeological, architectural, archival, decorative, or fine arts </w:t>
            </w:r>
            <w:r>
              <w:t>collection,</w:t>
            </w:r>
            <w:r>
              <w:t xml:space="preserve"> that</w:t>
            </w:r>
            <w:r>
              <w:t xml:space="preserve"> is authorized</w:t>
            </w:r>
            <w:r>
              <w:t xml:space="preserve"> by the </w:t>
            </w:r>
            <w:r w:rsidRPr="00C07D6B">
              <w:t>Texas Facilities Commission</w:t>
            </w:r>
            <w:r>
              <w:t xml:space="preserve"> (TFC)</w:t>
            </w:r>
            <w:r>
              <w:t xml:space="preserve"> to dispose of surplus or salvage</w:t>
            </w:r>
            <w:r>
              <w:t xml:space="preserve"> property</w:t>
            </w:r>
            <w:r>
              <w:t>,</w:t>
            </w:r>
            <w:r>
              <w:t xml:space="preserve"> and</w:t>
            </w:r>
            <w:r>
              <w:t xml:space="preserve"> that has</w:t>
            </w:r>
            <w:r>
              <w:t xml:space="preserve"> </w:t>
            </w:r>
            <w:r>
              <w:t xml:space="preserve">a </w:t>
            </w:r>
            <w:r>
              <w:t xml:space="preserve">governing body </w:t>
            </w:r>
            <w:r>
              <w:t>that</w:t>
            </w:r>
            <w:r>
              <w:t xml:space="preserve"> has adopted a written policy governing t</w:t>
            </w:r>
            <w:r>
              <w:t xml:space="preserve">he care and preservation of the </w:t>
            </w:r>
            <w:r>
              <w:t xml:space="preserve">qualifying </w:t>
            </w:r>
            <w:r>
              <w:t xml:space="preserve">collection to deaccession an item from </w:t>
            </w:r>
            <w:r>
              <w:t>the agency's qualifying</w:t>
            </w:r>
            <w:r>
              <w:t xml:space="preserve"> collection </w:t>
            </w:r>
            <w:r w:rsidRPr="00E77E44">
              <w:t>if the governing body determines that deaccession of the item is appropriate under the agency's written policy governing the care and prese</w:t>
            </w:r>
            <w:r w:rsidRPr="00E77E44">
              <w:t>rvation of the collection</w:t>
            </w:r>
            <w:r>
              <w:t xml:space="preserve">. </w:t>
            </w:r>
            <w:r>
              <w:t xml:space="preserve">The bill sets out provisions relating to the </w:t>
            </w:r>
            <w:r>
              <w:t>s</w:t>
            </w:r>
            <w:r>
              <w:t>ale</w:t>
            </w:r>
            <w:r>
              <w:t xml:space="preserve"> of a deaccessioned item </w:t>
            </w:r>
            <w:r>
              <w:t>by a state agency and the TFC</w:t>
            </w:r>
            <w:r>
              <w:t xml:space="preserve"> </w:t>
            </w:r>
            <w:r>
              <w:t>and</w:t>
            </w:r>
            <w:r>
              <w:t xml:space="preserve"> to</w:t>
            </w:r>
            <w:r>
              <w:t xml:space="preserve"> the deposit of the proceeds from such a sale</w:t>
            </w:r>
            <w:r>
              <w:t xml:space="preserve"> to the credit of a dedicated account in the general revenue fund and the </w:t>
            </w:r>
            <w:r>
              <w:t>appropriation of the money deposited to the credit of that account for the care and preservation of the agency's qualifying collection</w:t>
            </w:r>
            <w:r>
              <w:t>.</w:t>
            </w:r>
          </w:p>
          <w:p w:rsidR="00AD7C7B" w:rsidRDefault="00F1559A" w:rsidP="00D952BF">
            <w:pPr>
              <w:pStyle w:val="Header"/>
              <w:jc w:val="both"/>
            </w:pPr>
          </w:p>
          <w:p w:rsidR="00AD7C7B" w:rsidRDefault="00F1559A" w:rsidP="00D952BF">
            <w:pPr>
              <w:pStyle w:val="Header"/>
              <w:jc w:val="both"/>
            </w:pPr>
            <w:r>
              <w:t>C.S.H.B. 1422 transfers on September 1, 2019, from the Parks and Wildlife Department</w:t>
            </w:r>
            <w:r>
              <w:t xml:space="preserve"> </w:t>
            </w:r>
            <w:r w:rsidRPr="002D4B10">
              <w:t>(TPWD)</w:t>
            </w:r>
            <w:r>
              <w:t xml:space="preserve"> to the Texas Historical Commission </w:t>
            </w:r>
            <w:r>
              <w:t xml:space="preserve">the </w:t>
            </w:r>
            <w:r>
              <w:t xml:space="preserve">following historic sites: </w:t>
            </w:r>
            <w:r>
              <w:t>the Fanthorp Inn State Historic Site, the Lipantitlan State Historic Site, the Monument Hill and Kreische Brewery State Historic Sites, the Port Isabel Lighthouse State Historical Monument a</w:t>
            </w:r>
            <w:r>
              <w:t xml:space="preserve">nd Park, the San Jacinto Battleground State Historic Site, and the Washington-on-the-Brazos State Historic Site. The bill sets out provisions relating to </w:t>
            </w:r>
            <w:r>
              <w:t>the</w:t>
            </w:r>
            <w:r>
              <w:t xml:space="preserve"> transfer and makes the transfer provisions effective on</w:t>
            </w:r>
            <w:r>
              <w:t xml:space="preserve"> the bill's</w:t>
            </w:r>
            <w:r>
              <w:t xml:space="preserve"> passage, </w:t>
            </w:r>
            <w:r>
              <w:t xml:space="preserve">or, </w:t>
            </w:r>
            <w:r w:rsidRPr="004F5229">
              <w:t>if the bill does n</w:t>
            </w:r>
            <w:r w:rsidRPr="004F5229">
              <w:t>ot receive the necessary vote, the 91st day after the last day of the legislative session</w:t>
            </w:r>
            <w:r>
              <w:t>.</w:t>
            </w:r>
          </w:p>
          <w:p w:rsidR="00AB49B4" w:rsidRDefault="00F1559A" w:rsidP="00D952BF">
            <w:pPr>
              <w:pStyle w:val="Header"/>
              <w:jc w:val="both"/>
            </w:pPr>
          </w:p>
          <w:p w:rsidR="00E226ED" w:rsidRDefault="00F1559A" w:rsidP="00D952BF">
            <w:pPr>
              <w:pStyle w:val="Header"/>
              <w:spacing w:before="120" w:after="120"/>
              <w:jc w:val="both"/>
            </w:pPr>
            <w:r w:rsidRPr="00E226ED">
              <w:t>C.S.H.B. 1422</w:t>
            </w:r>
            <w:r>
              <w:t xml:space="preserve"> amends the Tax Code to</w:t>
            </w:r>
            <w:r>
              <w:t xml:space="preserve"> revise the amounts that are credited to </w:t>
            </w:r>
            <w:r>
              <w:t>TPWD</w:t>
            </w:r>
            <w:r>
              <w:t xml:space="preserve"> and the commission, respectively, from the proceeds </w:t>
            </w:r>
            <w:r w:rsidRPr="00D506FE">
              <w:t xml:space="preserve">from the collection of the </w:t>
            </w:r>
            <w:r>
              <w:t xml:space="preserve">sales and use </w:t>
            </w:r>
            <w:r w:rsidRPr="00D506FE">
              <w:t xml:space="preserve">tax </w:t>
            </w:r>
            <w:r>
              <w:t>imposed</w:t>
            </w:r>
            <w:r w:rsidRPr="00D506FE">
              <w:t xml:space="preserve"> on the sale, storage, or use of sporting goods</w:t>
            </w:r>
            <w:r>
              <w:t>.</w:t>
            </w:r>
          </w:p>
          <w:p w:rsidR="00E226ED" w:rsidRDefault="00F1559A" w:rsidP="00D952BF">
            <w:pPr>
              <w:pStyle w:val="Header"/>
              <w:jc w:val="both"/>
            </w:pPr>
          </w:p>
          <w:p w:rsidR="00253D7A" w:rsidRDefault="00F1559A" w:rsidP="00D952BF">
            <w:pPr>
              <w:pStyle w:val="Header"/>
              <w:jc w:val="both"/>
            </w:pPr>
            <w:r>
              <w:t xml:space="preserve">C.S.H.B. 1422 repeals provisions providing for the Texas Courthouse Preservation Program Advisory Committee and the advisory board for the </w:t>
            </w:r>
            <w:r w:rsidRPr="00887F9C">
              <w:t>Texas preservation trust fund account</w:t>
            </w:r>
            <w:r>
              <w:t>.</w:t>
            </w:r>
          </w:p>
          <w:p w:rsidR="00253D7A" w:rsidRDefault="00F1559A" w:rsidP="00D952BF">
            <w:pPr>
              <w:pStyle w:val="Header"/>
              <w:jc w:val="both"/>
            </w:pPr>
          </w:p>
          <w:p w:rsidR="00B42526" w:rsidRDefault="00F1559A" w:rsidP="00D952BF">
            <w:pPr>
              <w:pStyle w:val="Header"/>
              <w:jc w:val="both"/>
            </w:pPr>
            <w:r>
              <w:t>C.</w:t>
            </w:r>
            <w:r>
              <w:t>S.H.B.</w:t>
            </w:r>
            <w:r>
              <w:t xml:space="preserve"> 1422 </w:t>
            </w:r>
            <w:r>
              <w:t>amends</w:t>
            </w:r>
            <w:r>
              <w:t xml:space="preserve"> the Parks and Wildlife Code to </w:t>
            </w:r>
            <w:r>
              <w:t>make</w:t>
            </w:r>
            <w:r>
              <w:t xml:space="preserve"> a technical correction and to make</w:t>
            </w:r>
            <w:r>
              <w:t xml:space="preserve"> conforming changes relating to the bill's transfer of historic sites</w:t>
            </w:r>
            <w:r>
              <w:t>. The bill transfers and redesignates certain Parks and Wildlife Code provisions relating to the t</w:t>
            </w:r>
            <w:r>
              <w:t xml:space="preserve">ransferred </w:t>
            </w:r>
            <w:r>
              <w:t xml:space="preserve">historic </w:t>
            </w:r>
            <w:r>
              <w:t xml:space="preserve">sites </w:t>
            </w:r>
            <w:r>
              <w:t xml:space="preserve">to the Government Code. </w:t>
            </w:r>
          </w:p>
          <w:p w:rsidR="00230592" w:rsidRDefault="00F1559A" w:rsidP="00D952BF">
            <w:pPr>
              <w:pStyle w:val="Header"/>
              <w:jc w:val="both"/>
            </w:pPr>
          </w:p>
          <w:p w:rsidR="00F75754" w:rsidRDefault="00F1559A" w:rsidP="00D952BF">
            <w:pPr>
              <w:pStyle w:val="Header"/>
              <w:jc w:val="both"/>
            </w:pPr>
            <w:r>
              <w:t>C.S.H.B. 1422 authorizes TPWD, if on or before September 1, 2019, TPWD has applied for a grant for the San Jacinto Battleground State Historic Site for which TPWD is required to possess legal title to the</w:t>
            </w:r>
            <w:r>
              <w:t xml:space="preserve"> site, to retain legal title to the site for purposes of receiving the grant until the earlier of the date on which the grant application is denied or September 1, 2021.</w:t>
            </w:r>
          </w:p>
          <w:p w:rsidR="00F75754" w:rsidRDefault="00F1559A" w:rsidP="00D952BF">
            <w:pPr>
              <w:pStyle w:val="Header"/>
              <w:jc w:val="both"/>
            </w:pPr>
          </w:p>
          <w:p w:rsidR="00891ADE" w:rsidRDefault="00F1559A" w:rsidP="00D952BF">
            <w:pPr>
              <w:pStyle w:val="Header"/>
              <w:jc w:val="both"/>
            </w:pPr>
            <w:r>
              <w:t>C.S.H.B.</w:t>
            </w:r>
            <w:r>
              <w:t xml:space="preserve"> 1422 repeals </w:t>
            </w:r>
            <w:r>
              <w:t>the following</w:t>
            </w:r>
            <w:r>
              <w:t xml:space="preserve"> provisions</w:t>
            </w:r>
            <w:r>
              <w:t>:</w:t>
            </w:r>
          </w:p>
          <w:p w:rsidR="00891ADE" w:rsidRPr="00891ADE" w:rsidRDefault="00F1559A" w:rsidP="00D952B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891ADE">
              <w:t>Secti</w:t>
            </w:r>
            <w:r>
              <w:t>on 442.0081(g), Government Code</w:t>
            </w:r>
          </w:p>
          <w:p w:rsidR="00891ADE" w:rsidRPr="00891ADE" w:rsidRDefault="00F1559A" w:rsidP="00D952B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891ADE">
              <w:t>Sections 442.015(d), (e</w:t>
            </w:r>
            <w:r>
              <w:t>), and (f), Government Code</w:t>
            </w:r>
          </w:p>
          <w:p w:rsidR="00994214" w:rsidRPr="00230592" w:rsidRDefault="00F1559A" w:rsidP="00D952B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  <w:rPr>
                <w:b/>
              </w:rPr>
            </w:pPr>
            <w:r>
              <w:t>S</w:t>
            </w:r>
            <w:r w:rsidRPr="00891ADE">
              <w:t>ubchapter A, Chapter 22, Parks and Wildlife Code</w:t>
            </w:r>
          </w:p>
          <w:p w:rsidR="00230592" w:rsidRPr="00835628" w:rsidRDefault="00F1559A" w:rsidP="00D952BF">
            <w:pPr>
              <w:pStyle w:val="Header"/>
              <w:ind w:left="720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3F02EE" w:rsidTr="00345119">
        <w:tc>
          <w:tcPr>
            <w:tcW w:w="9576" w:type="dxa"/>
          </w:tcPr>
          <w:p w:rsidR="008423E4" w:rsidRPr="00A8133F" w:rsidRDefault="00F1559A" w:rsidP="00D952B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1559A" w:rsidP="00D952BF"/>
          <w:p w:rsidR="008423E4" w:rsidRPr="003624F2" w:rsidRDefault="00F1559A" w:rsidP="00D95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Except as otherwise provided, September 1, 2019.</w:t>
            </w:r>
          </w:p>
          <w:p w:rsidR="008423E4" w:rsidRPr="00233FDB" w:rsidRDefault="00F1559A" w:rsidP="00D952BF">
            <w:pPr>
              <w:rPr>
                <w:b/>
              </w:rPr>
            </w:pPr>
          </w:p>
        </w:tc>
      </w:tr>
      <w:tr w:rsidR="003F02EE" w:rsidTr="00345119">
        <w:tc>
          <w:tcPr>
            <w:tcW w:w="9576" w:type="dxa"/>
          </w:tcPr>
          <w:p w:rsidR="00981DB8" w:rsidRDefault="00F1559A" w:rsidP="00D952B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B4AD1" w:rsidRDefault="00F1559A" w:rsidP="00D952BF">
            <w:pPr>
              <w:jc w:val="both"/>
            </w:pPr>
          </w:p>
          <w:p w:rsidR="000B4AD1" w:rsidRDefault="00F1559A" w:rsidP="00D952BF">
            <w:pPr>
              <w:jc w:val="both"/>
            </w:pPr>
            <w:r>
              <w:t xml:space="preserve">While C.S.H.B. 1422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:rsidR="000B4AD1" w:rsidRDefault="00F1559A" w:rsidP="00D952BF">
            <w:pPr>
              <w:jc w:val="both"/>
            </w:pPr>
          </w:p>
          <w:p w:rsidR="00307B90" w:rsidRDefault="00F1559A" w:rsidP="00D952BF">
            <w:pPr>
              <w:jc w:val="both"/>
            </w:pPr>
            <w:r>
              <w:t xml:space="preserve">The substitute includes a provision providing for the delegation by </w:t>
            </w:r>
            <w:r w:rsidRPr="00307B90">
              <w:t>the Texas Historical C</w:t>
            </w:r>
            <w:r w:rsidRPr="00307B90">
              <w:t xml:space="preserve">ommission to </w:t>
            </w:r>
            <w:r>
              <w:t>its</w:t>
            </w:r>
            <w:r w:rsidRPr="00307B90">
              <w:t xml:space="preserve"> executive director </w:t>
            </w:r>
            <w:r>
              <w:t xml:space="preserve">of </w:t>
            </w:r>
            <w:r w:rsidRPr="00307B90">
              <w:t>the authority to perform the duties or exercise the powers of the commission</w:t>
            </w:r>
            <w:r>
              <w:t>.</w:t>
            </w:r>
            <w:r w:rsidRPr="00307B90">
              <w:t xml:space="preserve"> </w:t>
            </w:r>
          </w:p>
          <w:p w:rsidR="00E668F4" w:rsidRDefault="00F1559A" w:rsidP="00D952BF">
            <w:pPr>
              <w:jc w:val="both"/>
            </w:pPr>
          </w:p>
          <w:p w:rsidR="00E668F4" w:rsidRDefault="00F1559A" w:rsidP="00D952BF">
            <w:pPr>
              <w:jc w:val="both"/>
            </w:pPr>
            <w:r>
              <w:t>The substitute includes a provision</w:t>
            </w:r>
            <w:r w:rsidRPr="00E668F4">
              <w:t xml:space="preserve"> revis</w:t>
            </w:r>
            <w:r>
              <w:t>ing</w:t>
            </w:r>
            <w:r w:rsidRPr="00E668F4">
              <w:t xml:space="preserve"> the amounts that are credited to TPWD and the commission, respectively, from the proceeds fr</w:t>
            </w:r>
            <w:r w:rsidRPr="00E668F4">
              <w:t>om the collection of the sales and use tax imposed on the sale, storage, or use of sporting goods.</w:t>
            </w:r>
          </w:p>
          <w:p w:rsidR="001C44BA" w:rsidRDefault="00F1559A" w:rsidP="00D952BF">
            <w:pPr>
              <w:jc w:val="both"/>
            </w:pPr>
          </w:p>
          <w:p w:rsidR="001C44BA" w:rsidRDefault="00F1559A" w:rsidP="00D952BF">
            <w:pPr>
              <w:jc w:val="both"/>
            </w:pPr>
            <w:r>
              <w:t xml:space="preserve">The substitute does not include the transfer </w:t>
            </w:r>
            <w:r>
              <w:t xml:space="preserve">from the Parks and Wildlife Department </w:t>
            </w:r>
            <w:r w:rsidRPr="002D4B10">
              <w:t>(TPWD)</w:t>
            </w:r>
            <w:r>
              <w:t xml:space="preserve"> to the Texas Historical Commission </w:t>
            </w:r>
            <w:r>
              <w:t xml:space="preserve">of the </w:t>
            </w:r>
            <w:r w:rsidRPr="001C44BA">
              <w:t xml:space="preserve">Battleship Texas State </w:t>
            </w:r>
            <w:r w:rsidRPr="001C44BA">
              <w:t>Historic Site</w:t>
            </w:r>
            <w:r>
              <w:t xml:space="preserve"> or the </w:t>
            </w:r>
            <w:r w:rsidRPr="001C44BA">
              <w:t>Fort Leaton State Historic Site</w:t>
            </w:r>
            <w:r>
              <w:t>.</w:t>
            </w:r>
          </w:p>
          <w:p w:rsidR="001C44BA" w:rsidRDefault="00F1559A" w:rsidP="00D952BF">
            <w:pPr>
              <w:jc w:val="both"/>
            </w:pPr>
          </w:p>
          <w:p w:rsidR="001C44BA" w:rsidRDefault="00F1559A" w:rsidP="00D952BF">
            <w:pPr>
              <w:jc w:val="both"/>
            </w:pPr>
            <w:r>
              <w:t>The substitute includes a provision conditionally authorizing</w:t>
            </w:r>
            <w:r w:rsidRPr="001C44BA">
              <w:t xml:space="preserve"> TPWD to retain legal title to the San Jacinto Battleground State Historic Site for</w:t>
            </w:r>
            <w:r>
              <w:t xml:space="preserve"> certain</w:t>
            </w:r>
            <w:r w:rsidRPr="001C44BA">
              <w:t xml:space="preserve"> purposes until </w:t>
            </w:r>
            <w:r>
              <w:t xml:space="preserve">a certain </w:t>
            </w:r>
            <w:r w:rsidRPr="001C44BA">
              <w:t>date.</w:t>
            </w:r>
          </w:p>
          <w:p w:rsidR="00307B90" w:rsidRPr="000B4AD1" w:rsidRDefault="00F1559A" w:rsidP="00D952BF"/>
        </w:tc>
      </w:tr>
      <w:tr w:rsidR="003F02EE" w:rsidTr="00345119">
        <w:tc>
          <w:tcPr>
            <w:tcW w:w="9576" w:type="dxa"/>
          </w:tcPr>
          <w:p w:rsidR="00981DB8" w:rsidRPr="009C1E9A" w:rsidRDefault="00F1559A" w:rsidP="00D952BF">
            <w:pPr>
              <w:rPr>
                <w:b/>
                <w:u w:val="single"/>
              </w:rPr>
            </w:pPr>
          </w:p>
        </w:tc>
      </w:tr>
      <w:tr w:rsidR="003F02EE" w:rsidTr="00345119">
        <w:tc>
          <w:tcPr>
            <w:tcW w:w="9576" w:type="dxa"/>
          </w:tcPr>
          <w:p w:rsidR="00981DB8" w:rsidRPr="00981DB8" w:rsidRDefault="00F1559A" w:rsidP="00D952BF">
            <w:pPr>
              <w:jc w:val="both"/>
            </w:pPr>
          </w:p>
        </w:tc>
      </w:tr>
    </w:tbl>
    <w:p w:rsidR="004108C3" w:rsidRDefault="00F1559A" w:rsidP="00556B7F">
      <w:pPr>
        <w:spacing w:line="480" w:lineRule="auto"/>
      </w:pPr>
    </w:p>
    <w:p w:rsidR="000B4AD1" w:rsidRPr="000B4AD1" w:rsidRDefault="00F1559A" w:rsidP="000B4AD1"/>
    <w:sectPr w:rsidR="000B4AD1" w:rsidRPr="000B4AD1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559A">
      <w:r>
        <w:separator/>
      </w:r>
    </w:p>
  </w:endnote>
  <w:endnote w:type="continuationSeparator" w:id="0">
    <w:p w:rsidR="00000000" w:rsidRDefault="00F1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5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F02EE" w:rsidTr="009C1E9A">
      <w:trPr>
        <w:cantSplit/>
      </w:trPr>
      <w:tc>
        <w:tcPr>
          <w:tcW w:w="0" w:type="pct"/>
        </w:tcPr>
        <w:p w:rsidR="00137D90" w:rsidRDefault="00F155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155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155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155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155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02EE" w:rsidTr="009C1E9A">
      <w:trPr>
        <w:cantSplit/>
      </w:trPr>
      <w:tc>
        <w:tcPr>
          <w:tcW w:w="0" w:type="pct"/>
        </w:tcPr>
        <w:p w:rsidR="00EC379B" w:rsidRDefault="00F155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1559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20847</w:t>
          </w:r>
        </w:p>
      </w:tc>
      <w:tc>
        <w:tcPr>
          <w:tcW w:w="2453" w:type="pct"/>
        </w:tcPr>
        <w:p w:rsidR="00EC379B" w:rsidRDefault="00F155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19.79.1112</w:t>
          </w:r>
          <w:r>
            <w:fldChar w:fldCharType="end"/>
          </w:r>
        </w:p>
      </w:tc>
    </w:tr>
    <w:tr w:rsidR="003F02EE" w:rsidTr="009C1E9A">
      <w:trPr>
        <w:cantSplit/>
      </w:trPr>
      <w:tc>
        <w:tcPr>
          <w:tcW w:w="0" w:type="pct"/>
        </w:tcPr>
        <w:p w:rsidR="00EC379B" w:rsidRDefault="00F155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155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20153</w:t>
          </w:r>
        </w:p>
      </w:tc>
      <w:tc>
        <w:tcPr>
          <w:tcW w:w="2453" w:type="pct"/>
        </w:tcPr>
        <w:p w:rsidR="00EC379B" w:rsidRDefault="00F1559A" w:rsidP="006D504F">
          <w:pPr>
            <w:pStyle w:val="Footer"/>
            <w:rPr>
              <w:rStyle w:val="PageNumber"/>
            </w:rPr>
          </w:pPr>
        </w:p>
        <w:p w:rsidR="00EC379B" w:rsidRDefault="00F155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02E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1559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1559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1559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5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559A">
      <w:r>
        <w:separator/>
      </w:r>
    </w:p>
  </w:footnote>
  <w:footnote w:type="continuationSeparator" w:id="0">
    <w:p w:rsidR="00000000" w:rsidRDefault="00F1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5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5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5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618B"/>
    <w:multiLevelType w:val="hybridMultilevel"/>
    <w:tmpl w:val="A73C5AA2"/>
    <w:lvl w:ilvl="0" w:tplc="90CED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4A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C02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EE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698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CE2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8C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C6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06C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2F3D"/>
    <w:multiLevelType w:val="hybridMultilevel"/>
    <w:tmpl w:val="E71254B2"/>
    <w:lvl w:ilvl="0" w:tplc="72F0C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FED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D6F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CA5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249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85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E07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87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EB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A225D"/>
    <w:multiLevelType w:val="hybridMultilevel"/>
    <w:tmpl w:val="E69A5044"/>
    <w:lvl w:ilvl="0" w:tplc="2ADE1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CA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E6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C0C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A8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B8E8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43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A8A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EC6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F0A27"/>
    <w:multiLevelType w:val="hybridMultilevel"/>
    <w:tmpl w:val="7AF23D32"/>
    <w:lvl w:ilvl="0" w:tplc="A9F22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CB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B46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6F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6C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CDD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64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ACF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143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EE"/>
    <w:rsid w:val="003F02EE"/>
    <w:rsid w:val="00F1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6A9BEC-BD2D-4875-B5D2-6BD211AC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D38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3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38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3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384B"/>
    <w:rPr>
      <w:b/>
      <w:bCs/>
    </w:rPr>
  </w:style>
  <w:style w:type="paragraph" w:styleId="Revision">
    <w:name w:val="Revision"/>
    <w:hidden/>
    <w:uiPriority w:val="99"/>
    <w:semiHidden/>
    <w:rsid w:val="00EC09B3"/>
    <w:rPr>
      <w:sz w:val="24"/>
      <w:szCs w:val="24"/>
    </w:rPr>
  </w:style>
  <w:style w:type="character" w:styleId="FootnoteReference">
    <w:name w:val="footnote reference"/>
    <w:semiHidden/>
    <w:rsid w:val="00E226ED"/>
  </w:style>
  <w:style w:type="paragraph" w:styleId="ListParagraph">
    <w:name w:val="List Paragraph"/>
    <w:basedOn w:val="Normal"/>
    <w:uiPriority w:val="34"/>
    <w:qFormat/>
    <w:rsid w:val="00E2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5852</Characters>
  <Application>Microsoft Office Word</Application>
  <DocSecurity>4</DocSecurity>
  <Lines>125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HB01422 (Committee Report (Substituted))</vt:lpstr>
    </vt:vector>
  </TitlesOfParts>
  <Company>State of Texas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20847</dc:subject>
  <dc:creator>State of Texas</dc:creator>
  <dc:description>HB 1422 by Paddie-(H)Culture, Recreation &amp; Tourism (Substitute Document Number: 86R 20153)</dc:description>
  <cp:lastModifiedBy>Laura Ramsay</cp:lastModifiedBy>
  <cp:revision>2</cp:revision>
  <cp:lastPrinted>2019-02-14T15:42:00Z</cp:lastPrinted>
  <dcterms:created xsi:type="dcterms:W3CDTF">2019-03-25T20:00:00Z</dcterms:created>
  <dcterms:modified xsi:type="dcterms:W3CDTF">2019-03-25T20:00:00Z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19.79.1112</vt:lpwstr>
  </property>
</Properties>
</file>