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665C" w:rsidTr="00345119">
        <w:tc>
          <w:tcPr>
            <w:tcW w:w="9576" w:type="dxa"/>
            <w:noWrap/>
          </w:tcPr>
          <w:p w:rsidR="008423E4" w:rsidRPr="0022177D" w:rsidRDefault="00B210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1027" w:rsidP="008423E4">
      <w:pPr>
        <w:jc w:val="center"/>
      </w:pPr>
    </w:p>
    <w:p w:rsidR="008423E4" w:rsidRPr="00B31F0E" w:rsidRDefault="00B21027" w:rsidP="008423E4"/>
    <w:p w:rsidR="008423E4" w:rsidRPr="00742794" w:rsidRDefault="00B210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665C" w:rsidTr="00345119">
        <w:tc>
          <w:tcPr>
            <w:tcW w:w="9576" w:type="dxa"/>
          </w:tcPr>
          <w:p w:rsidR="008423E4" w:rsidRPr="00861995" w:rsidRDefault="00B21027" w:rsidP="00345119">
            <w:pPr>
              <w:jc w:val="right"/>
            </w:pPr>
            <w:r>
              <w:t>C.S.H.B. 1442</w:t>
            </w:r>
          </w:p>
        </w:tc>
      </w:tr>
      <w:tr w:rsidR="0036665C" w:rsidTr="00345119">
        <w:tc>
          <w:tcPr>
            <w:tcW w:w="9576" w:type="dxa"/>
          </w:tcPr>
          <w:p w:rsidR="008423E4" w:rsidRPr="00861995" w:rsidRDefault="00B21027" w:rsidP="00A84A6F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36665C" w:rsidTr="00345119">
        <w:tc>
          <w:tcPr>
            <w:tcW w:w="9576" w:type="dxa"/>
          </w:tcPr>
          <w:p w:rsidR="008423E4" w:rsidRPr="00861995" w:rsidRDefault="00B21027" w:rsidP="00345119">
            <w:pPr>
              <w:jc w:val="right"/>
            </w:pPr>
            <w:r>
              <w:t>Pensions, Investments &amp; Financial Services</w:t>
            </w:r>
          </w:p>
        </w:tc>
      </w:tr>
      <w:tr w:rsidR="0036665C" w:rsidTr="00345119">
        <w:tc>
          <w:tcPr>
            <w:tcW w:w="9576" w:type="dxa"/>
          </w:tcPr>
          <w:p w:rsidR="008423E4" w:rsidRDefault="00B2102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21027" w:rsidP="008423E4">
      <w:pPr>
        <w:tabs>
          <w:tab w:val="right" w:pos="9360"/>
        </w:tabs>
      </w:pPr>
    </w:p>
    <w:p w:rsidR="008423E4" w:rsidRDefault="00B21027" w:rsidP="008423E4"/>
    <w:p w:rsidR="008423E4" w:rsidRDefault="00B210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665C" w:rsidTr="00345119">
        <w:tc>
          <w:tcPr>
            <w:tcW w:w="9576" w:type="dxa"/>
          </w:tcPr>
          <w:p w:rsidR="008423E4" w:rsidRPr="00A8133F" w:rsidRDefault="00B21027" w:rsidP="003039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1027" w:rsidP="00303950"/>
          <w:p w:rsidR="008423E4" w:rsidRDefault="00B21027" w:rsidP="003039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8674C1">
              <w:t xml:space="preserve"> Office of Consumer Credit Commissioner (OCCC) has jurisdiction over an assortment of consumer credit industries and is subject to the Texas Sunset Act. </w:t>
            </w:r>
            <w:r>
              <w:t>C.S.H.B.</w:t>
            </w:r>
            <w:r w:rsidRPr="008674C1">
              <w:t xml:space="preserve"> 1442 seeks to continue the </w:t>
            </w:r>
            <w:r>
              <w:t>OCCC</w:t>
            </w:r>
            <w:r w:rsidRPr="008674C1">
              <w:t xml:space="preserve"> with statutory modifications.</w:t>
            </w:r>
            <w:r>
              <w:t xml:space="preserve"> </w:t>
            </w:r>
          </w:p>
          <w:p w:rsidR="008423E4" w:rsidRPr="00E26B13" w:rsidRDefault="00B21027" w:rsidP="00D904D8">
            <w:pPr>
              <w:rPr>
                <w:b/>
              </w:rPr>
            </w:pPr>
          </w:p>
        </w:tc>
      </w:tr>
      <w:tr w:rsidR="0036665C" w:rsidTr="00345119">
        <w:tc>
          <w:tcPr>
            <w:tcW w:w="9576" w:type="dxa"/>
          </w:tcPr>
          <w:p w:rsidR="0017725B" w:rsidRDefault="00B21027" w:rsidP="00D904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1027" w:rsidP="00D904D8">
            <w:pPr>
              <w:rPr>
                <w:b/>
                <w:u w:val="single"/>
              </w:rPr>
            </w:pPr>
          </w:p>
          <w:p w:rsidR="00936967" w:rsidRPr="00936967" w:rsidRDefault="00B21027" w:rsidP="00D904D8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B21027" w:rsidP="00D904D8">
            <w:pPr>
              <w:rPr>
                <w:b/>
                <w:u w:val="single"/>
              </w:rPr>
            </w:pPr>
          </w:p>
        </w:tc>
      </w:tr>
      <w:tr w:rsidR="0036665C" w:rsidTr="00345119">
        <w:tc>
          <w:tcPr>
            <w:tcW w:w="9576" w:type="dxa"/>
          </w:tcPr>
          <w:p w:rsidR="008423E4" w:rsidRPr="00A8133F" w:rsidRDefault="00B21027" w:rsidP="00D904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1027" w:rsidP="00D904D8"/>
          <w:p w:rsidR="00CB0E01" w:rsidRDefault="00B21027" w:rsidP="00D90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Finance Commission of Texas in SECTION</w:t>
            </w:r>
            <w:r>
              <w:t>S</w:t>
            </w:r>
            <w:r>
              <w:t xml:space="preserve"> </w:t>
            </w:r>
            <w:r>
              <w:t>6</w:t>
            </w:r>
            <w:r>
              <w:t xml:space="preserve">, </w:t>
            </w:r>
            <w:r>
              <w:t>42</w:t>
            </w:r>
            <w:r>
              <w:t xml:space="preserve">, </w:t>
            </w:r>
            <w:r>
              <w:t xml:space="preserve">60, </w:t>
            </w:r>
            <w:r>
              <w:t xml:space="preserve">and </w:t>
            </w:r>
            <w:r>
              <w:t>78</w:t>
            </w:r>
            <w:r>
              <w:t xml:space="preserve"> of this bill.</w:t>
            </w:r>
          </w:p>
          <w:p w:rsidR="008423E4" w:rsidRPr="00E21FDC" w:rsidRDefault="00B21027" w:rsidP="00D904D8">
            <w:pPr>
              <w:rPr>
                <w:b/>
              </w:rPr>
            </w:pPr>
          </w:p>
        </w:tc>
      </w:tr>
      <w:tr w:rsidR="0036665C" w:rsidTr="00345119">
        <w:tc>
          <w:tcPr>
            <w:tcW w:w="9576" w:type="dxa"/>
          </w:tcPr>
          <w:p w:rsidR="008423E4" w:rsidRPr="00A8133F" w:rsidRDefault="00B21027" w:rsidP="00D904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1027" w:rsidP="00D904D8"/>
          <w:p w:rsidR="00C43248" w:rsidRDefault="00B21027" w:rsidP="00D90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1442 </w:t>
            </w:r>
            <w:r>
              <w:t xml:space="preserve">amends the Finance Code to postpone </w:t>
            </w:r>
            <w:r>
              <w:t>from September 1, 2019</w:t>
            </w:r>
            <w:r>
              <w:t>,</w:t>
            </w:r>
            <w:r>
              <w:t xml:space="preserve"> to September 1, 2031, </w:t>
            </w:r>
            <w:r>
              <w:t xml:space="preserve">the </w:t>
            </w:r>
            <w:r>
              <w:t>d</w:t>
            </w:r>
            <w:r>
              <w:t>ate on</w:t>
            </w:r>
            <w:r>
              <w:t xml:space="preserve"> which</w:t>
            </w:r>
            <w:r>
              <w:t xml:space="preserve"> the Office of Consumer Credit Commissioner </w:t>
            </w:r>
            <w:r>
              <w:t>(OCCC)</w:t>
            </w:r>
            <w:r>
              <w:t xml:space="preserve"> </w:t>
            </w:r>
            <w:r>
              <w:t>is abolished unless continued in existence as provided by the Texas Sunset Act</w:t>
            </w:r>
            <w:r>
              <w:t>.</w:t>
            </w:r>
            <w:r>
              <w:t xml:space="preserve"> </w:t>
            </w:r>
          </w:p>
          <w:p w:rsidR="00C43248" w:rsidRDefault="00B21027" w:rsidP="00D90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5052" w:rsidRDefault="00B21027" w:rsidP="00D90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1442</w:t>
            </w:r>
            <w:r>
              <w:t xml:space="preserve"> </w:t>
            </w:r>
            <w:r>
              <w:t>requires</w:t>
            </w:r>
            <w:r>
              <w:t xml:space="preserve"> the Finance Commission of Texas by ru</w:t>
            </w:r>
            <w:r>
              <w:t xml:space="preserve">le to develop a policy to encourage the use of negotiated rulemaking </w:t>
            </w:r>
            <w:r>
              <w:t>and alternative dispute resolution procedures</w:t>
            </w:r>
            <w:r>
              <w:t xml:space="preserve">, </w:t>
            </w:r>
            <w:r>
              <w:t>sets out provisions related to that requirement</w:t>
            </w:r>
            <w:r>
              <w:t>, and revises provisions relating to</w:t>
            </w:r>
            <w:r>
              <w:t xml:space="preserve"> the </w:t>
            </w:r>
            <w:r>
              <w:t xml:space="preserve">duties of </w:t>
            </w:r>
            <w:r>
              <w:t>OCCC with respect to</w:t>
            </w:r>
            <w:r>
              <w:t xml:space="preserve"> consumer information </w:t>
            </w:r>
            <w:r>
              <w:t>and complaints</w:t>
            </w:r>
            <w:r>
              <w:t>.</w:t>
            </w:r>
            <w:r>
              <w:t xml:space="preserve"> The bill authorizes the consumer credit commissioner to appoint</w:t>
            </w:r>
            <w:r>
              <w:t xml:space="preserve"> advisory committee</w:t>
            </w:r>
            <w:r>
              <w:t>s</w:t>
            </w:r>
            <w:r>
              <w:t xml:space="preserve"> to assist</w:t>
            </w:r>
            <w:r>
              <w:t xml:space="preserve"> </w:t>
            </w:r>
            <w:r>
              <w:t>OCCC and the commissioner in performing their duties</w:t>
            </w:r>
            <w:r>
              <w:t xml:space="preserve">; </w:t>
            </w:r>
            <w:r>
              <w:t>requires the commissioner to specify each committee's purpose, powers, and duties</w:t>
            </w:r>
            <w:r>
              <w:t xml:space="preserve">; </w:t>
            </w:r>
            <w:r>
              <w:t>and requi</w:t>
            </w:r>
            <w:r>
              <w:t>res each committee t</w:t>
            </w:r>
            <w:r>
              <w:t xml:space="preserve">o report to </w:t>
            </w:r>
            <w:r>
              <w:t xml:space="preserve">OCCC </w:t>
            </w:r>
            <w:r>
              <w:t xml:space="preserve">or the commissioner, </w:t>
            </w:r>
            <w:r>
              <w:t>in the manner specified by the commissioner</w:t>
            </w:r>
            <w:r>
              <w:t>,</w:t>
            </w:r>
            <w:r>
              <w:t xml:space="preserve"> concerning the committee's activities and the results of its work.</w:t>
            </w:r>
          </w:p>
          <w:p w:rsidR="00C57DB9" w:rsidRDefault="00B21027" w:rsidP="00D90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61521" w:rsidRDefault="00B21027" w:rsidP="00D904D8">
            <w:pPr>
              <w:pStyle w:val="Header"/>
              <w:jc w:val="both"/>
            </w:pPr>
            <w:r w:rsidRPr="00A61521">
              <w:t>C.S.H.B. 1442</w:t>
            </w:r>
            <w:r>
              <w:t xml:space="preserve"> replaces the requirement for the finance commission to instruct the </w:t>
            </w:r>
            <w:r>
              <w:t>commissioner to establish a program to address alternatives to high-cost lending in Texas with a direct requirement for the commissioner to do so. The bill removes requirements</w:t>
            </w:r>
            <w:r>
              <w:t xml:space="preserve"> for the program relating to studying and reporting on lending and depository se</w:t>
            </w:r>
            <w:r>
              <w:t>rvices and lending to agricultural and small business</w:t>
            </w:r>
            <w:r>
              <w:t xml:space="preserve">, </w:t>
            </w:r>
            <w:r>
              <w:t>developing certain models to assist borrowers</w:t>
            </w:r>
            <w:r>
              <w:t xml:space="preserve">, </w:t>
            </w:r>
            <w:r>
              <w:t xml:space="preserve">and tracking certain lenders and providing certain demographic information. </w:t>
            </w:r>
            <w:r>
              <w:t xml:space="preserve">The </w:t>
            </w:r>
            <w:r>
              <w:t>program must require</w:t>
            </w:r>
            <w:r>
              <w:t xml:space="preserve"> intra-agency posting of nonentry level positions </w:t>
            </w:r>
            <w:r>
              <w:t>unde</w:t>
            </w:r>
            <w:r>
              <w:t>r the commissioner's intra-agency career ladder prog</w:t>
            </w:r>
            <w:r>
              <w:t>ram</w:t>
            </w:r>
            <w:r>
              <w:t xml:space="preserve"> </w:t>
            </w:r>
            <w:r>
              <w:t xml:space="preserve">to be </w:t>
            </w:r>
            <w:r>
              <w:t>concurrent with any public posting.</w:t>
            </w:r>
          </w:p>
          <w:p w:rsidR="00A61521" w:rsidRDefault="00B21027" w:rsidP="00D904D8">
            <w:pPr>
              <w:pStyle w:val="Header"/>
              <w:jc w:val="both"/>
            </w:pPr>
          </w:p>
          <w:p w:rsidR="008203A9" w:rsidRDefault="00B21027" w:rsidP="00D904D8">
            <w:pPr>
              <w:pStyle w:val="Header"/>
              <w:jc w:val="both"/>
            </w:pPr>
            <w:r>
              <w:t>C.S.H.B.</w:t>
            </w:r>
            <w:r w:rsidRPr="00632206">
              <w:t xml:space="preserve"> 1442 </w:t>
            </w:r>
            <w:r w:rsidRPr="00C70739">
              <w:t>revises</w:t>
            </w:r>
            <w:r>
              <w:t xml:space="preserve"> </w:t>
            </w:r>
            <w:r>
              <w:t xml:space="preserve">and </w:t>
            </w:r>
            <w:r w:rsidRPr="00C70739">
              <w:t>updates</w:t>
            </w:r>
            <w:r>
              <w:t>, as applicable,</w:t>
            </w:r>
            <w:r w:rsidRPr="00C70739">
              <w:t xml:space="preserve"> </w:t>
            </w:r>
            <w:r w:rsidRPr="00C70739">
              <w:t xml:space="preserve">provisions relating to the </w:t>
            </w:r>
            <w:r w:rsidRPr="00C70739">
              <w:t>investigative</w:t>
            </w:r>
            <w:r w:rsidRPr="00C70739">
              <w:t xml:space="preserve"> and enforcement authority of </w:t>
            </w:r>
            <w:r w:rsidRPr="00C70739">
              <w:t>OCCC</w:t>
            </w:r>
            <w:r w:rsidRPr="00632206">
              <w:t xml:space="preserve">, including </w:t>
            </w:r>
            <w:r w:rsidRPr="00632206">
              <w:t>provisions applicable</w:t>
            </w:r>
            <w:r w:rsidRPr="00632206">
              <w:t xml:space="preserve"> to the commissioner's</w:t>
            </w:r>
            <w:r w:rsidRPr="00C70739">
              <w:t xml:space="preserve"> authority</w:t>
            </w:r>
            <w:r w:rsidRPr="00632206">
              <w:t xml:space="preserve"> to request information on a reasonable suspicion of a violation</w:t>
            </w:r>
            <w:r>
              <w:t>. The bill expands</w:t>
            </w:r>
            <w:r w:rsidRPr="00632206">
              <w:t xml:space="preserve"> </w:t>
            </w:r>
            <w:r>
              <w:t xml:space="preserve">provisions regarding </w:t>
            </w:r>
            <w:r w:rsidRPr="00632206">
              <w:t>the payment of restitution</w:t>
            </w:r>
            <w:r>
              <w:t xml:space="preserve"> to apply also to certain metal recycling entities</w:t>
            </w:r>
            <w:r w:rsidRPr="00632206"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revises </w:t>
            </w:r>
            <w:r>
              <w:t xml:space="preserve">and updates </w:t>
            </w:r>
            <w:r w:rsidRPr="00632206">
              <w:t xml:space="preserve">provisions regarding the appeal of an </w:t>
            </w:r>
            <w:r>
              <w:t xml:space="preserve">enforcement </w:t>
            </w:r>
            <w:r w:rsidRPr="00632206">
              <w:t xml:space="preserve">order issued </w:t>
            </w:r>
            <w:r w:rsidRPr="00632206">
              <w:t>by the commissioner</w:t>
            </w:r>
            <w:r>
              <w:t xml:space="preserve"> </w:t>
            </w:r>
            <w:r>
              <w:t>and clarifies</w:t>
            </w:r>
            <w:r>
              <w:t xml:space="preserve"> that the Administrative Procedure Act</w:t>
            </w:r>
            <w:r>
              <w:t>, with regard to such an appeal, governs a requested hearing and the right to judicial review in district court</w:t>
            </w:r>
            <w:r>
              <w:t>.</w:t>
            </w:r>
            <w:r>
              <w:t xml:space="preserve"> The bill </w:t>
            </w:r>
            <w:r>
              <w:t xml:space="preserve">requires </w:t>
            </w:r>
            <w:r>
              <w:t xml:space="preserve">the commissioner to approve </w:t>
            </w:r>
            <w:r>
              <w:t>a</w:t>
            </w:r>
            <w:r>
              <w:t xml:space="preserve"> determination </w:t>
            </w:r>
            <w:r>
              <w:t xml:space="preserve">that a violation occurred </w:t>
            </w:r>
            <w:r>
              <w:t>and impose the recommended penalty</w:t>
            </w:r>
            <w:r>
              <w:t xml:space="preserve"> if a person</w:t>
            </w:r>
            <w:r>
              <w:t xml:space="preserve"> fails to make a timely written request for a hearing</w:t>
            </w:r>
            <w:r>
              <w:t>.</w:t>
            </w:r>
            <w:r>
              <w:t xml:space="preserve"> </w:t>
            </w:r>
            <w:r>
              <w:t xml:space="preserve">The bill entitles a tax refund anticipation loan facilitator to </w:t>
            </w:r>
            <w:r>
              <w:t>notice</w:t>
            </w:r>
            <w:r>
              <w:t xml:space="preserve"> of </w:t>
            </w:r>
            <w:r>
              <w:t>a</w:t>
            </w:r>
            <w:r>
              <w:t xml:space="preserve"> </w:t>
            </w:r>
            <w:r>
              <w:t xml:space="preserve">proposed </w:t>
            </w:r>
            <w:r>
              <w:t xml:space="preserve">registration </w:t>
            </w:r>
            <w:r>
              <w:t>revocation</w:t>
            </w:r>
            <w:r>
              <w:t xml:space="preserve"> and </w:t>
            </w:r>
            <w:r>
              <w:t xml:space="preserve">requires </w:t>
            </w:r>
            <w:r>
              <w:t>the commissioner or a hearings officer</w:t>
            </w:r>
            <w:r>
              <w:t xml:space="preserve"> to prescribe the time and place of </w:t>
            </w:r>
            <w:r>
              <w:t>a</w:t>
            </w:r>
            <w:r>
              <w:t xml:space="preserve"> </w:t>
            </w:r>
            <w:r>
              <w:t xml:space="preserve">hearing </w:t>
            </w:r>
            <w:r>
              <w:t xml:space="preserve">on the facilitator's written request for the hearing not later than the 20th day after the </w:t>
            </w:r>
            <w:r>
              <w:t>notice is received</w:t>
            </w:r>
            <w:r>
              <w:t>.</w:t>
            </w:r>
          </w:p>
          <w:p w:rsidR="00667393" w:rsidRDefault="00B21027" w:rsidP="00D904D8">
            <w:pPr>
              <w:pStyle w:val="Header"/>
              <w:jc w:val="both"/>
            </w:pPr>
          </w:p>
          <w:p w:rsidR="00BD18B1" w:rsidRDefault="00B21027" w:rsidP="00D904D8">
            <w:pPr>
              <w:pStyle w:val="Header"/>
              <w:jc w:val="both"/>
            </w:pPr>
            <w:r>
              <w:t>C.S.H.B.</w:t>
            </w:r>
            <w:r>
              <w:t xml:space="preserve"> 1442</w:t>
            </w:r>
            <w:r>
              <w:t xml:space="preserve"> </w:t>
            </w:r>
            <w:r>
              <w:t>subjects the sale of crafted precious metal to the investigative and enforcement authority of OCCC</w:t>
            </w:r>
            <w:r>
              <w:t>,</w:t>
            </w:r>
            <w:r>
              <w:t xml:space="preserve"> </w:t>
            </w:r>
            <w:r>
              <w:t>makes confidential</w:t>
            </w:r>
            <w:r>
              <w:t xml:space="preserve"> and protects from disclosure</w:t>
            </w:r>
            <w:r>
              <w:t xml:space="preserve"> the</w:t>
            </w:r>
            <w:r>
              <w:t xml:space="preserve"> </w:t>
            </w:r>
            <w:r w:rsidRPr="0040276F">
              <w:t xml:space="preserve">information </w:t>
            </w:r>
            <w:r>
              <w:t>and</w:t>
            </w:r>
            <w:r w:rsidRPr="0040276F">
              <w:t xml:space="preserve"> material </w:t>
            </w:r>
            <w:r>
              <w:t>gathered in an OCCC investigation</w:t>
            </w:r>
            <w:r>
              <w:t xml:space="preserve"> of such sales</w:t>
            </w:r>
            <w:r>
              <w:t xml:space="preserve">, and authorizes the commissioner to order crafted precious metal dealers </w:t>
            </w:r>
            <w:r>
              <w:t xml:space="preserve">who violate or cause a violation of applicable law or a rule adopted under the applicable law </w:t>
            </w:r>
            <w:r>
              <w:t>to pay restitution</w:t>
            </w:r>
            <w:r>
              <w:t xml:space="preserve"> to an identifiable person</w:t>
            </w:r>
            <w:r>
              <w:t>.</w:t>
            </w:r>
            <w:r>
              <w:t xml:space="preserve"> </w:t>
            </w:r>
            <w:r>
              <w:t>The bill, with respect to all confidential</w:t>
            </w:r>
            <w:r>
              <w:t xml:space="preserve"> information or material protected from disclosure,</w:t>
            </w:r>
            <w:r>
              <w:t xml:space="preserve"> </w:t>
            </w:r>
            <w:r>
              <w:t xml:space="preserve">authorizes the commissioner or the commissioner's representative to disclose </w:t>
            </w:r>
            <w:r>
              <w:t>the</w:t>
            </w:r>
            <w:r>
              <w:t xml:space="preserve"> </w:t>
            </w:r>
            <w:r>
              <w:t xml:space="preserve">information </w:t>
            </w:r>
            <w:r>
              <w:t>and</w:t>
            </w:r>
            <w:r>
              <w:t xml:space="preserve"> material</w:t>
            </w:r>
            <w:r>
              <w:t xml:space="preserve"> </w:t>
            </w:r>
            <w:r>
              <w:t xml:space="preserve">for the purpose of </w:t>
            </w:r>
            <w:r>
              <w:t>provid</w:t>
            </w:r>
            <w:r>
              <w:t>ing</w:t>
            </w:r>
            <w:r>
              <w:t xml:space="preserve"> a summary of</w:t>
            </w:r>
            <w:r>
              <w:t xml:space="preserve"> </w:t>
            </w:r>
            <w:r>
              <w:t>investigation</w:t>
            </w:r>
            <w:r>
              <w:t xml:space="preserve"> </w:t>
            </w:r>
            <w:r>
              <w:t>information</w:t>
            </w:r>
            <w:r>
              <w:t xml:space="preserve"> </w:t>
            </w:r>
            <w:r>
              <w:t>to the person who filed a comp</w:t>
            </w:r>
            <w:r>
              <w:t xml:space="preserve">laint. </w:t>
            </w:r>
            <w:r>
              <w:t>The bill conditions the commissioner</w:t>
            </w:r>
            <w:r>
              <w:t>'s</w:t>
            </w:r>
            <w:r>
              <w:t xml:space="preserve"> or representative</w:t>
            </w:r>
            <w:r>
              <w:t>'s authority</w:t>
            </w:r>
            <w:r>
              <w:t xml:space="preserve"> to disclose such confidential information or material with </w:t>
            </w:r>
            <w:r>
              <w:t xml:space="preserve">the </w:t>
            </w:r>
            <w:r>
              <w:t xml:space="preserve">consent from an applicable </w:t>
            </w:r>
            <w:r>
              <w:t>person</w:t>
            </w:r>
            <w:r>
              <w:t xml:space="preserve"> on </w:t>
            </w:r>
            <w:r>
              <w:t xml:space="preserve">the information or material </w:t>
            </w:r>
            <w:r>
              <w:t>having been previously provided to</w:t>
            </w:r>
            <w:r>
              <w:t xml:space="preserve"> or by the </w:t>
            </w:r>
            <w:r>
              <w:t>person</w:t>
            </w:r>
            <w:r>
              <w:t>.</w:t>
            </w:r>
          </w:p>
          <w:p w:rsidR="0086761D" w:rsidRDefault="00B21027" w:rsidP="00D904D8">
            <w:pPr>
              <w:pStyle w:val="Header"/>
              <w:jc w:val="both"/>
            </w:pPr>
          </w:p>
          <w:p w:rsidR="00A12BEC" w:rsidRDefault="00B21027" w:rsidP="00D904D8">
            <w:pPr>
              <w:pStyle w:val="Header"/>
              <w:jc w:val="both"/>
            </w:pPr>
            <w:r>
              <w:t>C.S.H.B.</w:t>
            </w:r>
            <w:r w:rsidRPr="00C70739">
              <w:t xml:space="preserve"> 1442 </w:t>
            </w:r>
            <w:r w:rsidRPr="00C70739">
              <w:t xml:space="preserve">revises </w:t>
            </w:r>
            <w:r>
              <w:t xml:space="preserve">and updates </w:t>
            </w:r>
            <w:r>
              <w:t xml:space="preserve">certain </w:t>
            </w:r>
            <w:r>
              <w:t xml:space="preserve">Finance Code and Occupations Code </w:t>
            </w:r>
            <w:r w:rsidRPr="00C70739">
              <w:t xml:space="preserve">provisions </w:t>
            </w:r>
            <w:r>
              <w:t xml:space="preserve">relating to the </w:t>
            </w:r>
            <w:r w:rsidRPr="00C70739">
              <w:t xml:space="preserve">terms of </w:t>
            </w:r>
            <w:r>
              <w:t>certain</w:t>
            </w:r>
            <w:r>
              <w:t xml:space="preserve"> </w:t>
            </w:r>
            <w:r w:rsidRPr="00C70739">
              <w:t xml:space="preserve">licenses and registrations </w:t>
            </w:r>
            <w:r>
              <w:t xml:space="preserve">issued </w:t>
            </w:r>
            <w:r>
              <w:t>with respect to</w:t>
            </w:r>
            <w:r>
              <w:t xml:space="preserve"> certain loans and financed transactions, pawnshops, credit services organizations, d</w:t>
            </w:r>
            <w:r>
              <w:t>ebtor assistance</w:t>
            </w:r>
            <w:r>
              <w:t xml:space="preserve"> services</w:t>
            </w:r>
            <w:r>
              <w:t>, metal recycling entities</w:t>
            </w:r>
            <w:r>
              <w:t>, and crafted precious metal dealers</w:t>
            </w:r>
            <w:r>
              <w:t>. The bill</w:t>
            </w:r>
            <w:r w:rsidRPr="00C70739">
              <w:t xml:space="preserve"> requires </w:t>
            </w:r>
            <w:r w:rsidRPr="00C70739">
              <w:t xml:space="preserve">the </w:t>
            </w:r>
            <w:r w:rsidRPr="00C70739">
              <w:t xml:space="preserve">finance </w:t>
            </w:r>
            <w:r w:rsidRPr="00C70739">
              <w:t>commission</w:t>
            </w:r>
            <w:r w:rsidRPr="00C70739">
              <w:t xml:space="preserve"> to prescribe by rule </w:t>
            </w:r>
            <w:r>
              <w:t xml:space="preserve">the </w:t>
            </w:r>
            <w:r w:rsidRPr="00C70739">
              <w:t>terms</w:t>
            </w:r>
            <w:r w:rsidRPr="00C70739">
              <w:t xml:space="preserve"> for</w:t>
            </w:r>
            <w:r w:rsidRPr="00C70739">
              <w:t xml:space="preserve"> </w:t>
            </w:r>
            <w:r>
              <w:t xml:space="preserve">applicable </w:t>
            </w:r>
            <w:r w:rsidRPr="00C70739">
              <w:t>licenses</w:t>
            </w:r>
            <w:r w:rsidRPr="00C70739">
              <w:t xml:space="preserve"> and </w:t>
            </w:r>
            <w:r w:rsidRPr="00C70739">
              <w:t>registrations</w:t>
            </w:r>
            <w:r>
              <w:t xml:space="preserve"> </w:t>
            </w:r>
            <w:r w:rsidRPr="008719B7">
              <w:t>that do not exceed two years</w:t>
            </w:r>
            <w:r>
              <w:t xml:space="preserve">, including making the </w:t>
            </w:r>
            <w:r>
              <w:t>annual residential mortgage loan originator license subject to a term set by commission rule</w:t>
            </w:r>
            <w:r>
              <w:t>.</w:t>
            </w:r>
            <w:r w:rsidRPr="00C70739">
              <w:t xml:space="preserve"> </w:t>
            </w:r>
            <w:r>
              <w:t>The bill</w:t>
            </w:r>
            <w:r w:rsidRPr="008719B7">
              <w:t xml:space="preserve"> requires the </w:t>
            </w:r>
            <w:r>
              <w:t xml:space="preserve">finance </w:t>
            </w:r>
            <w:r w:rsidRPr="008719B7">
              <w:t>commission</w:t>
            </w:r>
            <w:r>
              <w:t>, in adopting those rules,</w:t>
            </w:r>
            <w:r w:rsidRPr="008719B7">
              <w:t xml:space="preserve"> to set terms for applicable licenses in compliance </w:t>
            </w:r>
            <w:r w:rsidRPr="00D761F6">
              <w:t xml:space="preserve">with </w:t>
            </w:r>
            <w:r w:rsidRPr="00D761F6">
              <w:t xml:space="preserve">the </w:t>
            </w:r>
            <w:r w:rsidRPr="00C70739">
              <w:rPr>
                <w:color w:val="333333"/>
                <w:shd w:val="clear" w:color="auto" w:fill="FFFFFF"/>
              </w:rPr>
              <w:t>Texas Secure and Fair Enforcement f</w:t>
            </w:r>
            <w:r w:rsidRPr="00C70739">
              <w:rPr>
                <w:color w:val="333333"/>
                <w:shd w:val="clear" w:color="auto" w:fill="FFFFFF"/>
              </w:rPr>
              <w:t>or Mortgage Licensing Act of 2009</w:t>
            </w:r>
            <w:r w:rsidRPr="00D761F6">
              <w:t xml:space="preserve"> and </w:t>
            </w:r>
            <w:r w:rsidRPr="008719B7">
              <w:t>with the federal Secure and Fair Enforcement for Mortgage Licensing Act of 2008.</w:t>
            </w:r>
            <w:r>
              <w:t xml:space="preserve"> </w:t>
            </w:r>
            <w:r w:rsidRPr="00C70739">
              <w:t xml:space="preserve">The bill sets out additional </w:t>
            </w:r>
            <w:r>
              <w:t xml:space="preserve">revised and updated </w:t>
            </w:r>
            <w:r w:rsidRPr="00C70739">
              <w:t>provi</w:t>
            </w:r>
            <w:r w:rsidRPr="00C70739">
              <w:t xml:space="preserve">sions </w:t>
            </w:r>
            <w:r>
              <w:t xml:space="preserve">regarding </w:t>
            </w:r>
            <w:r>
              <w:t>those</w:t>
            </w:r>
            <w:r>
              <w:t xml:space="preserve"> licenses and registrations</w:t>
            </w:r>
            <w:r w:rsidRPr="00C70739">
              <w:t>, including</w:t>
            </w:r>
            <w:r>
              <w:t>:</w:t>
            </w:r>
            <w:r w:rsidRPr="00C70739">
              <w:t xml:space="preserve"> </w:t>
            </w:r>
          </w:p>
          <w:p w:rsidR="00A12BEC" w:rsidRDefault="00B21027" w:rsidP="00D904D8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C70739">
              <w:t xml:space="preserve">provisions </w:t>
            </w:r>
            <w:r>
              <w:t xml:space="preserve">relating </w:t>
            </w:r>
            <w:r>
              <w:t>to setting license and registration fees;</w:t>
            </w:r>
          </w:p>
          <w:p w:rsidR="003A50C7" w:rsidRDefault="00B21027" w:rsidP="00D904D8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provisions </w:t>
            </w:r>
            <w:r>
              <w:t>requiring</w:t>
            </w:r>
            <w:r w:rsidRPr="00C70739">
              <w:t xml:space="preserve"> the proration of fees under certain circumstances</w:t>
            </w:r>
            <w:r>
              <w:t xml:space="preserve">; </w:t>
            </w:r>
          </w:p>
          <w:p w:rsidR="00A12BEC" w:rsidRDefault="00B21027" w:rsidP="00D904D8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provisions updating</w:t>
            </w:r>
            <w:r w:rsidRPr="00C70739">
              <w:t xml:space="preserve"> </w:t>
            </w:r>
            <w:r>
              <w:t xml:space="preserve">fee payment </w:t>
            </w:r>
            <w:r w:rsidRPr="00C70739">
              <w:t>deadlines</w:t>
            </w:r>
            <w:r>
              <w:t xml:space="preserve"> </w:t>
            </w:r>
            <w:r>
              <w:t xml:space="preserve">and bond conditions </w:t>
            </w:r>
            <w:r>
              <w:t xml:space="preserve">to reflect the bill's </w:t>
            </w:r>
            <w:r>
              <w:t>revised terms for applicable licenses and registrations</w:t>
            </w:r>
            <w:r>
              <w:t xml:space="preserve">; </w:t>
            </w:r>
            <w:r w:rsidRPr="00C70739">
              <w:t xml:space="preserve">and </w:t>
            </w:r>
          </w:p>
          <w:p w:rsidR="00A12BEC" w:rsidRDefault="00B21027" w:rsidP="00D904D8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C70739">
              <w:t>provisions authorizing the commissioner to refuse to renew a</w:t>
            </w:r>
            <w:r>
              <w:t>n applicable</w:t>
            </w:r>
            <w:r w:rsidRPr="00C70739">
              <w:t xml:space="preserve"> license or registration of a person or entity that fails to comply with an </w:t>
            </w:r>
            <w:r w:rsidRPr="00C70739">
              <w:t xml:space="preserve">enforcement </w:t>
            </w:r>
            <w:r w:rsidRPr="00C70739">
              <w:t>order issue</w:t>
            </w:r>
            <w:r w:rsidRPr="00C70739">
              <w:t>d by the commissioner</w:t>
            </w:r>
            <w:r w:rsidRPr="00C70739">
              <w:t xml:space="preserve">. </w:t>
            </w:r>
          </w:p>
          <w:p w:rsidR="0095178F" w:rsidRDefault="00B21027" w:rsidP="00D904D8">
            <w:pPr>
              <w:pStyle w:val="Header"/>
              <w:spacing w:before="120" w:after="120"/>
              <w:jc w:val="both"/>
            </w:pPr>
            <w:r w:rsidRPr="00C70739">
              <w:t>The bill</w:t>
            </w:r>
            <w:r>
              <w:t xml:space="preserve"> requires the finance</w:t>
            </w:r>
            <w:r>
              <w:t xml:space="preserve"> </w:t>
            </w:r>
            <w:r>
              <w:t xml:space="preserve">commission by rule to </w:t>
            </w:r>
            <w:r w:rsidRPr="00643E9C">
              <w:t>esta</w:t>
            </w:r>
            <w:r w:rsidRPr="00643E9C">
              <w:t>blish a deadline for the submission of the information and fee</w:t>
            </w:r>
            <w:r>
              <w:t xml:space="preserve"> </w:t>
            </w:r>
            <w:r w:rsidRPr="00643E9C">
              <w:t>required</w:t>
            </w:r>
            <w:r>
              <w:t xml:space="preserve"> </w:t>
            </w:r>
            <w:r w:rsidRPr="00643E9C">
              <w:t xml:space="preserve">for </w:t>
            </w:r>
            <w:r>
              <w:t xml:space="preserve">the </w:t>
            </w:r>
            <w:r w:rsidRPr="00643E9C">
              <w:t>initial issuance and renewal of registrations</w:t>
            </w:r>
            <w:r>
              <w:t xml:space="preserve"> for tax refund anticipation loan facilitators and </w:t>
            </w:r>
            <w:r>
              <w:t xml:space="preserve">for </w:t>
            </w:r>
            <w:r>
              <w:t>crafted precious metal dealers.</w:t>
            </w:r>
            <w:r>
              <w:t xml:space="preserve"> </w:t>
            </w:r>
          </w:p>
          <w:p w:rsidR="000130CA" w:rsidRDefault="00B21027" w:rsidP="00D904D8">
            <w:pPr>
              <w:pStyle w:val="Header"/>
              <w:jc w:val="both"/>
            </w:pPr>
            <w:r>
              <w:br/>
            </w:r>
            <w:r w:rsidRPr="000130CA">
              <w:t>C.S.H.B.</w:t>
            </w:r>
            <w:r>
              <w:t xml:space="preserve"> 1442 </w:t>
            </w:r>
            <w:r>
              <w:t>makes participation by a</w:t>
            </w:r>
            <w:r>
              <w:t xml:space="preserve"> paw</w:t>
            </w:r>
            <w:r>
              <w:t>nbroker in the pawnshop employee license program</w:t>
            </w:r>
            <w:r>
              <w:t xml:space="preserve"> </w:t>
            </w:r>
            <w:r>
              <w:t xml:space="preserve">optional </w:t>
            </w:r>
            <w:r>
              <w:t>and conditions licensing for an individual who begins employment at a pawnshop on the employing pawnbroker participating in the program</w:t>
            </w:r>
            <w:r>
              <w:t>. A pawnbroker participates</w:t>
            </w:r>
            <w:r>
              <w:t xml:space="preserve"> in the program</w:t>
            </w:r>
            <w:r>
              <w:t xml:space="preserve"> </w:t>
            </w:r>
            <w:r w:rsidRPr="00817E95">
              <w:t>by notifying the com</w:t>
            </w:r>
            <w:r w:rsidRPr="00817E95">
              <w:t>missioner in writing on a form prescribed by the commissioner</w:t>
            </w:r>
            <w:r>
              <w:t xml:space="preserve"> and the bill</w:t>
            </w:r>
            <w:r>
              <w:t xml:space="preserve"> sets out </w:t>
            </w:r>
            <w:r>
              <w:t xml:space="preserve">the </w:t>
            </w:r>
            <w:r>
              <w:t>times at which</w:t>
            </w:r>
            <w:r>
              <w:t xml:space="preserve"> a pawnbroker may </w:t>
            </w:r>
            <w:r>
              <w:t>submit</w:t>
            </w:r>
            <w:r>
              <w:t xml:space="preserve"> </w:t>
            </w:r>
            <w:r>
              <w:t>that</w:t>
            </w:r>
            <w:r>
              <w:t xml:space="preserve"> notification. The bill </w:t>
            </w:r>
            <w:r>
              <w:t xml:space="preserve">provides for the process by which </w:t>
            </w:r>
            <w:r>
              <w:t xml:space="preserve">a pawnbroker </w:t>
            </w:r>
            <w:r>
              <w:t>ends</w:t>
            </w:r>
            <w:r>
              <w:t xml:space="preserve"> </w:t>
            </w:r>
            <w:r>
              <w:t>participation</w:t>
            </w:r>
            <w:r>
              <w:t xml:space="preserve"> in the program</w:t>
            </w:r>
            <w:r>
              <w:t>.</w:t>
            </w:r>
            <w:r>
              <w:t xml:space="preserve"> </w:t>
            </w:r>
            <w:r>
              <w:t xml:space="preserve">The bill sets the </w:t>
            </w:r>
            <w:r>
              <w:t xml:space="preserve">deadline by which a pawnshop employee license holder is required to pay </w:t>
            </w:r>
            <w:r>
              <w:t>a</w:t>
            </w:r>
            <w:r>
              <w:t xml:space="preserve"> license fee and sets the date the license expires under certain conditions. </w:t>
            </w:r>
            <w:r>
              <w:t>The bill</w:t>
            </w:r>
            <w:r>
              <w:t xml:space="preserve"> </w:t>
            </w:r>
            <w:r>
              <w:t>requires the finance commission</w:t>
            </w:r>
            <w:r>
              <w:t xml:space="preserve">, not later than November 1, </w:t>
            </w:r>
            <w:r w:rsidRPr="00016D6F">
              <w:t>2019</w:t>
            </w:r>
            <w:r>
              <w:t>,</w:t>
            </w:r>
            <w:r>
              <w:t xml:space="preserve"> to adopt rules to implement the</w:t>
            </w:r>
            <w:r>
              <w:t xml:space="preserve"> program</w:t>
            </w:r>
            <w:r>
              <w:t>.</w:t>
            </w:r>
            <w:r>
              <w:t xml:space="preserve"> The bill requires </w:t>
            </w:r>
            <w:r>
              <w:t>OCCC</w:t>
            </w:r>
            <w:r>
              <w:t>, not later than December 1, 2019, to be prepared to accept applications for licenses under the program.</w:t>
            </w:r>
            <w:r>
              <w:t xml:space="preserve"> The bill makes the amount of the pawnshop employee license application fee and the pawnshop employee license fee subjec</w:t>
            </w:r>
            <w:r>
              <w:t>t to the amount set by the finance commission by rule.</w:t>
            </w:r>
          </w:p>
          <w:p w:rsidR="0095178F" w:rsidRPr="00D904D8" w:rsidRDefault="00B21027" w:rsidP="00D904D8">
            <w:pPr>
              <w:pStyle w:val="Header"/>
              <w:jc w:val="both"/>
              <w:rPr>
                <w:sz w:val="20"/>
              </w:rPr>
            </w:pPr>
          </w:p>
          <w:p w:rsidR="00690DBC" w:rsidRDefault="00B21027" w:rsidP="00D904D8">
            <w:pPr>
              <w:pStyle w:val="Header"/>
              <w:jc w:val="both"/>
            </w:pPr>
            <w:r>
              <w:t>C.S.H.B.</w:t>
            </w:r>
            <w:r w:rsidRPr="00C02321">
              <w:t xml:space="preserve"> 1442 </w:t>
            </w:r>
            <w:r>
              <w:t xml:space="preserve">provides for the expiration </w:t>
            </w:r>
            <w:r>
              <w:t xml:space="preserve">on December 31, 2019, </w:t>
            </w:r>
            <w:r>
              <w:t xml:space="preserve">of pawnshop employee </w:t>
            </w:r>
            <w:r w:rsidRPr="00C02321">
              <w:t xml:space="preserve">licenses </w:t>
            </w:r>
            <w:r>
              <w:t>issued before</w:t>
            </w:r>
            <w:r w:rsidRPr="00C02321">
              <w:t xml:space="preserve"> </w:t>
            </w:r>
            <w:r w:rsidRPr="00C02321">
              <w:t>the bill's effective date</w:t>
            </w:r>
            <w:r>
              <w:t>, and</w:t>
            </w:r>
            <w:r w:rsidRPr="00C02321">
              <w:t xml:space="preserve"> makes the holder of a pawnshop license responsible for all ac</w:t>
            </w:r>
            <w:r w:rsidRPr="00C02321">
              <w:t>ts of the license holder's officers, directors, employees, and agents acting on behalf of the pawnshop. The bill removes the requirement that an applicant, to be eligible for a pawnshop license, be of good moral character.</w:t>
            </w:r>
            <w:r>
              <w:t xml:space="preserve"> </w:t>
            </w:r>
          </w:p>
          <w:p w:rsidR="00E50ECD" w:rsidRPr="00D904D8" w:rsidRDefault="00B21027" w:rsidP="00D904D8">
            <w:pPr>
              <w:pStyle w:val="Header"/>
              <w:jc w:val="both"/>
              <w:rPr>
                <w:sz w:val="20"/>
              </w:rPr>
            </w:pPr>
          </w:p>
          <w:p w:rsidR="00E50ECD" w:rsidRDefault="00B21027" w:rsidP="00D904D8">
            <w:pPr>
              <w:pStyle w:val="Header"/>
              <w:jc w:val="both"/>
            </w:pPr>
            <w:r>
              <w:t>C.S.H.B.</w:t>
            </w:r>
            <w:r w:rsidRPr="002437EB">
              <w:t xml:space="preserve"> 1442</w:t>
            </w:r>
            <w:r>
              <w:t xml:space="preserve"> </w:t>
            </w:r>
            <w:r>
              <w:t>authorizes a deal</w:t>
            </w:r>
            <w:r>
              <w:t xml:space="preserve">er to submit a list </w:t>
            </w:r>
            <w:r>
              <w:t xml:space="preserve">describing </w:t>
            </w:r>
            <w:r w:rsidRPr="00F64D38">
              <w:t xml:space="preserve">all of </w:t>
            </w:r>
            <w:r>
              <w:t>a</w:t>
            </w:r>
            <w:r w:rsidRPr="00F64D38">
              <w:t xml:space="preserve"> person's crafted precious metal to be accepted by the dealer</w:t>
            </w:r>
            <w:r>
              <w:t xml:space="preserve"> </w:t>
            </w:r>
            <w:r>
              <w:t xml:space="preserve">to satisfy the requirement for the dealer to report applicable transactions to the commissioner if the list contains certain specified information with </w:t>
            </w:r>
            <w:r>
              <w:t>regard to the transaction.</w:t>
            </w:r>
          </w:p>
          <w:p w:rsidR="00A260FA" w:rsidRPr="00D904D8" w:rsidRDefault="00B21027" w:rsidP="00D904D8">
            <w:pPr>
              <w:pStyle w:val="Header"/>
              <w:jc w:val="both"/>
              <w:rPr>
                <w:sz w:val="20"/>
              </w:rPr>
            </w:pPr>
          </w:p>
          <w:p w:rsidR="00985555" w:rsidRDefault="00B21027" w:rsidP="00D904D8">
            <w:pPr>
              <w:pStyle w:val="Header"/>
              <w:jc w:val="both"/>
            </w:pPr>
            <w:r>
              <w:t>C.S.H.B.</w:t>
            </w:r>
            <w:r>
              <w:t xml:space="preserve"> 1442</w:t>
            </w:r>
            <w:r w:rsidRPr="008719B7">
              <w:t xml:space="preserve"> establishes that </w:t>
            </w:r>
            <w:r>
              <w:t>the bill</w:t>
            </w:r>
            <w:r>
              <w:t>'s changes</w:t>
            </w:r>
            <w:r>
              <w:t xml:space="preserve"> do </w:t>
            </w:r>
            <w:r w:rsidRPr="00A50A7B">
              <w:t xml:space="preserve">not affect the validity of a disciplinary action or other proceeding that was initiated before the </w:t>
            </w:r>
            <w:r>
              <w:t xml:space="preserve">bill's </w:t>
            </w:r>
            <w:r w:rsidRPr="00A50A7B">
              <w:t>effective date and that is pending before a court or other government</w:t>
            </w:r>
            <w:r w:rsidRPr="00A50A7B">
              <w:t>al entity on that date.</w:t>
            </w:r>
          </w:p>
          <w:p w:rsidR="00AD4C6A" w:rsidRPr="00D904D8" w:rsidRDefault="00B21027" w:rsidP="00D904D8">
            <w:pPr>
              <w:pStyle w:val="Header"/>
              <w:jc w:val="both"/>
              <w:rPr>
                <w:sz w:val="20"/>
              </w:rPr>
            </w:pPr>
          </w:p>
          <w:p w:rsidR="00AD4C6A" w:rsidRDefault="00B21027" w:rsidP="00D904D8">
            <w:pPr>
              <w:pStyle w:val="Header"/>
              <w:jc w:val="both"/>
            </w:pPr>
            <w:r>
              <w:t>C.S.H.B. 1442 repeals the following provisions of the Finance Code:</w:t>
            </w:r>
          </w:p>
          <w:p w:rsidR="00AD4C6A" w:rsidRDefault="00B21027" w:rsidP="00D904D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14.208(d)</w:t>
            </w:r>
          </w:p>
          <w:p w:rsidR="00AD4C6A" w:rsidRDefault="00B21027" w:rsidP="00D904D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371.052(b)</w:t>
            </w:r>
          </w:p>
          <w:p w:rsidR="00AD4C6A" w:rsidRDefault="00B21027" w:rsidP="00D904D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371.304(b), (c), and (d)</w:t>
            </w:r>
          </w:p>
          <w:p w:rsidR="008423E4" w:rsidRPr="00D904D8" w:rsidRDefault="00B21027" w:rsidP="00D904D8">
            <w:pPr>
              <w:rPr>
                <w:b/>
                <w:sz w:val="20"/>
              </w:rPr>
            </w:pPr>
          </w:p>
        </w:tc>
      </w:tr>
      <w:tr w:rsidR="0036665C" w:rsidTr="00345119">
        <w:tc>
          <w:tcPr>
            <w:tcW w:w="9576" w:type="dxa"/>
          </w:tcPr>
          <w:p w:rsidR="008423E4" w:rsidRPr="00A8133F" w:rsidRDefault="00B21027" w:rsidP="00D904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D904D8" w:rsidRDefault="00B21027" w:rsidP="00D904D8">
            <w:pPr>
              <w:rPr>
                <w:sz w:val="20"/>
              </w:rPr>
            </w:pPr>
          </w:p>
          <w:p w:rsidR="008423E4" w:rsidRPr="003624F2" w:rsidRDefault="00B21027" w:rsidP="00D904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D904D8" w:rsidRDefault="00B21027" w:rsidP="00D904D8">
            <w:pPr>
              <w:rPr>
                <w:b/>
                <w:sz w:val="20"/>
              </w:rPr>
            </w:pPr>
          </w:p>
        </w:tc>
      </w:tr>
      <w:tr w:rsidR="0036665C" w:rsidTr="00345119">
        <w:tc>
          <w:tcPr>
            <w:tcW w:w="9576" w:type="dxa"/>
          </w:tcPr>
          <w:p w:rsidR="00A84A6F" w:rsidRDefault="00B21027" w:rsidP="00D904D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70275" w:rsidRPr="00D904D8" w:rsidRDefault="00B21027" w:rsidP="00D904D8">
            <w:pPr>
              <w:jc w:val="both"/>
              <w:rPr>
                <w:sz w:val="20"/>
              </w:rPr>
            </w:pPr>
          </w:p>
          <w:p w:rsidR="00F70275" w:rsidRDefault="00B21027" w:rsidP="00D904D8">
            <w:pPr>
              <w:jc w:val="both"/>
            </w:pPr>
            <w:r>
              <w:t xml:space="preserve">While </w:t>
            </w:r>
            <w:r>
              <w:t>C.S.H.B. 1442 may differ from the original in minor or nonsubstantive ways, the following summarizes the substantial differences between the introduced and committee substitute versions of the bill.</w:t>
            </w:r>
          </w:p>
          <w:p w:rsidR="00F70275" w:rsidRPr="00D904D8" w:rsidRDefault="00B21027" w:rsidP="00D904D8">
            <w:pPr>
              <w:jc w:val="both"/>
              <w:rPr>
                <w:sz w:val="18"/>
              </w:rPr>
            </w:pPr>
          </w:p>
          <w:p w:rsidR="00E566D5" w:rsidRDefault="00B21027" w:rsidP="00D904D8">
            <w:pPr>
              <w:jc w:val="both"/>
            </w:pPr>
            <w:r>
              <w:t>The substitute does not include the following:</w:t>
            </w:r>
          </w:p>
          <w:p w:rsidR="00E566D5" w:rsidRDefault="00B21027" w:rsidP="00D904D8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the repea</w:t>
            </w:r>
            <w:r>
              <w:t>l of</w:t>
            </w:r>
            <w:r>
              <w:t xml:space="preserve"> provisions establishing </w:t>
            </w:r>
            <w:r>
              <w:t>a</w:t>
            </w:r>
            <w:r>
              <w:t xml:space="preserve"> pawnshop employee license</w:t>
            </w:r>
            <w:r>
              <w:t>; and</w:t>
            </w:r>
          </w:p>
          <w:p w:rsidR="00E566D5" w:rsidRDefault="00B21027" w:rsidP="00D904D8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a </w:t>
            </w:r>
            <w:r w:rsidRPr="007F35AA">
              <w:t xml:space="preserve">provision regarding </w:t>
            </w:r>
            <w:r>
              <w:t>a person's</w:t>
            </w:r>
            <w:r w:rsidRPr="007F35AA">
              <w:t xml:space="preserve"> </w:t>
            </w:r>
            <w:r w:rsidRPr="007F35AA">
              <w:t xml:space="preserve">requisite state of mind </w:t>
            </w:r>
            <w:r>
              <w:t xml:space="preserve">for purposes of assessing an administrative penalty </w:t>
            </w:r>
            <w:r w:rsidRPr="007F35AA">
              <w:t>for certain violations</w:t>
            </w:r>
            <w:r>
              <w:t>.</w:t>
            </w:r>
          </w:p>
          <w:p w:rsidR="00E566D5" w:rsidRDefault="00B21027" w:rsidP="00D904D8">
            <w:pPr>
              <w:spacing w:before="120" w:after="120"/>
              <w:jc w:val="both"/>
            </w:pPr>
            <w:r>
              <w:t xml:space="preserve">The </w:t>
            </w:r>
            <w:r w:rsidRPr="00ED27C5">
              <w:t xml:space="preserve">substitute </w:t>
            </w:r>
            <w:r>
              <w:t>includes the following:</w:t>
            </w:r>
          </w:p>
          <w:p w:rsidR="003D2FA4" w:rsidRDefault="00B21027" w:rsidP="003A3AF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78"/>
              <w:contextualSpacing w:val="0"/>
              <w:jc w:val="both"/>
            </w:pPr>
            <w:r>
              <w:t xml:space="preserve">a provision </w:t>
            </w:r>
            <w:r>
              <w:t>clarifying</w:t>
            </w:r>
            <w:r>
              <w:t xml:space="preserve"> a requirement for</w:t>
            </w:r>
            <w:r>
              <w:t xml:space="preserve"> the</w:t>
            </w:r>
            <w:r>
              <w:t xml:space="preserve"> </w:t>
            </w:r>
            <w:r>
              <w:t xml:space="preserve">commissioner to </w:t>
            </w:r>
            <w:r w:rsidRPr="006417D3">
              <w:t>establish a program to address alternatives to high-cost lending in Texas</w:t>
            </w:r>
            <w:r>
              <w:t>;</w:t>
            </w:r>
          </w:p>
          <w:p w:rsidR="003D2FA4" w:rsidRDefault="00B21027" w:rsidP="003A3AF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78"/>
              <w:contextualSpacing w:val="0"/>
              <w:jc w:val="both"/>
            </w:pPr>
            <w:r>
              <w:t>provisions</w:t>
            </w:r>
            <w:r>
              <w:t xml:space="preserve"> </w:t>
            </w:r>
            <w:r>
              <w:t>revising</w:t>
            </w:r>
            <w:r>
              <w:t xml:space="preserve"> the study and reporting required under that program</w:t>
            </w:r>
            <w:r>
              <w:t>;</w:t>
            </w:r>
          </w:p>
          <w:p w:rsidR="003D2FA4" w:rsidRDefault="00B21027" w:rsidP="003A3AF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78"/>
              <w:contextualSpacing w:val="0"/>
              <w:jc w:val="both"/>
            </w:pPr>
            <w:r>
              <w:t>a provision</w:t>
            </w:r>
            <w:r>
              <w:t xml:space="preserve"> </w:t>
            </w:r>
            <w:r>
              <w:t xml:space="preserve">relating to </w:t>
            </w:r>
            <w:r>
              <w:t xml:space="preserve">certain </w:t>
            </w:r>
            <w:r>
              <w:t xml:space="preserve">intra-agency </w:t>
            </w:r>
            <w:r>
              <w:t>job postings</w:t>
            </w:r>
            <w:r>
              <w:t>;</w:t>
            </w:r>
          </w:p>
          <w:p w:rsidR="003D2FA4" w:rsidRDefault="00B21027" w:rsidP="003A3AF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78"/>
              <w:contextualSpacing w:val="0"/>
              <w:jc w:val="both"/>
            </w:pPr>
            <w:r>
              <w:t>a provisio</w:t>
            </w:r>
            <w:r>
              <w:t>n</w:t>
            </w:r>
            <w:r>
              <w:t xml:space="preserve"> clarif</w:t>
            </w:r>
            <w:r>
              <w:t>ying</w:t>
            </w:r>
            <w:r>
              <w:t xml:space="preserve"> </w:t>
            </w:r>
            <w:r>
              <w:t xml:space="preserve">the </w:t>
            </w:r>
            <w:r>
              <w:t>conditions under</w:t>
            </w:r>
            <w:r>
              <w:t xml:space="preserve"> </w:t>
            </w:r>
            <w:r>
              <w:t xml:space="preserve">which </w:t>
            </w:r>
            <w:r>
              <w:t>confidential information or material may be disclosed</w:t>
            </w:r>
            <w:r>
              <w:t>;</w:t>
            </w:r>
          </w:p>
          <w:p w:rsidR="004C7150" w:rsidRDefault="00B21027" w:rsidP="003A3AF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78"/>
              <w:contextualSpacing w:val="0"/>
              <w:jc w:val="both"/>
            </w:pPr>
            <w:r>
              <w:t>provisions making pawnshop employee licensing optional;</w:t>
            </w:r>
          </w:p>
          <w:p w:rsidR="00ED4714" w:rsidRDefault="00B21027" w:rsidP="003A3AF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78"/>
              <w:contextualSpacing w:val="0"/>
              <w:jc w:val="both"/>
            </w:pPr>
            <w:r>
              <w:t>provisions subjecting the amount of a pawnshop employee license application and license fee to the amount</w:t>
            </w:r>
            <w:r>
              <w:t xml:space="preserve"> set by finance commission rule;</w:t>
            </w:r>
          </w:p>
          <w:p w:rsidR="00F62B90" w:rsidRDefault="00B21027" w:rsidP="003A3AF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78"/>
              <w:contextualSpacing w:val="0"/>
              <w:jc w:val="both"/>
            </w:pPr>
            <w:r>
              <w:t xml:space="preserve">a provision authorizing the commissioner to refuse to renew </w:t>
            </w:r>
            <w:r>
              <w:t>the</w:t>
            </w:r>
            <w:r>
              <w:t xml:space="preserve"> paw</w:t>
            </w:r>
            <w:r>
              <w:t>n</w:t>
            </w:r>
            <w:r>
              <w:t>shop employee license of a person who fails to comply with an order issued by the commissioner to comply with the Texas Pawnshop Act;</w:t>
            </w:r>
          </w:p>
          <w:p w:rsidR="007C3E9F" w:rsidRDefault="00B21027" w:rsidP="003A3AF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78"/>
              <w:contextualSpacing w:val="0"/>
              <w:jc w:val="both"/>
            </w:pPr>
            <w:r>
              <w:t>provisions revising p</w:t>
            </w:r>
            <w:r>
              <w:t xml:space="preserve">rocedures for </w:t>
            </w:r>
            <w:r>
              <w:t>hearings relating to certain violations</w:t>
            </w:r>
            <w:r>
              <w:t xml:space="preserve"> and the right to judicial review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F70275" w:rsidRPr="00F70275" w:rsidRDefault="00B21027" w:rsidP="003A3AF7">
            <w:pPr>
              <w:pStyle w:val="ListParagraph"/>
              <w:numPr>
                <w:ilvl w:val="0"/>
                <w:numId w:val="4"/>
              </w:numPr>
              <w:spacing w:before="120" w:after="120"/>
              <w:ind w:left="778"/>
              <w:contextualSpacing w:val="0"/>
              <w:jc w:val="both"/>
            </w:pPr>
            <w:r>
              <w:t xml:space="preserve">a </w:t>
            </w:r>
            <w:r>
              <w:t>provision authorizing</w:t>
            </w:r>
            <w:r>
              <w:t xml:space="preserve"> a</w:t>
            </w:r>
            <w:r>
              <w:t xml:space="preserve"> crafted</w:t>
            </w:r>
            <w:r>
              <w:t xml:space="preserve"> precious metal dealer to submit </w:t>
            </w:r>
            <w:r>
              <w:t>a list provided by</w:t>
            </w:r>
            <w:r w:rsidRPr="00ED27C5">
              <w:t xml:space="preserve"> sellers</w:t>
            </w:r>
            <w:r>
              <w:t xml:space="preserve"> that fulfills certain specified requirements </w:t>
            </w:r>
            <w:r>
              <w:t>for purposes of</w:t>
            </w:r>
            <w:r w:rsidRPr="00ED27C5">
              <w:t xml:space="preserve"> report</w:t>
            </w:r>
            <w:r>
              <w:t>ing</w:t>
            </w:r>
            <w:r w:rsidRPr="00ED27C5">
              <w:t xml:space="preserve"> </w:t>
            </w:r>
            <w:r>
              <w:t>regulated</w:t>
            </w:r>
            <w:r w:rsidRPr="00ED27C5">
              <w:t xml:space="preserve"> </w:t>
            </w:r>
            <w:r w:rsidRPr="00ED27C5">
              <w:t>transactions to the commissioner</w:t>
            </w:r>
            <w:r>
              <w:t>.</w:t>
            </w:r>
          </w:p>
        </w:tc>
      </w:tr>
    </w:tbl>
    <w:p w:rsidR="004108C3" w:rsidRPr="00D904D8" w:rsidRDefault="00B21027" w:rsidP="008423E4">
      <w:pPr>
        <w:rPr>
          <w:sz w:val="4"/>
          <w:szCs w:val="4"/>
        </w:rPr>
      </w:pPr>
    </w:p>
    <w:sectPr w:rsidR="004108C3" w:rsidRPr="00D904D8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1027">
      <w:r>
        <w:separator/>
      </w:r>
    </w:p>
  </w:endnote>
  <w:endnote w:type="continuationSeparator" w:id="0">
    <w:p w:rsidR="00000000" w:rsidRDefault="00B2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7C" w:rsidRDefault="00B21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665C" w:rsidTr="009C1E9A">
      <w:trPr>
        <w:cantSplit/>
      </w:trPr>
      <w:tc>
        <w:tcPr>
          <w:tcW w:w="0" w:type="pct"/>
        </w:tcPr>
        <w:p w:rsidR="00137D90" w:rsidRDefault="00B210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10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10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10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10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65C" w:rsidTr="009C1E9A">
      <w:trPr>
        <w:cantSplit/>
      </w:trPr>
      <w:tc>
        <w:tcPr>
          <w:tcW w:w="0" w:type="pct"/>
        </w:tcPr>
        <w:p w:rsidR="00EC379B" w:rsidRDefault="00B210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10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21265</w:t>
          </w:r>
        </w:p>
      </w:tc>
      <w:tc>
        <w:tcPr>
          <w:tcW w:w="2453" w:type="pct"/>
        </w:tcPr>
        <w:p w:rsidR="00EC379B" w:rsidRDefault="00B210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19.81.1561</w:t>
          </w:r>
          <w:r>
            <w:fldChar w:fldCharType="end"/>
          </w:r>
        </w:p>
      </w:tc>
    </w:tr>
    <w:tr w:rsidR="0036665C" w:rsidTr="009C1E9A">
      <w:trPr>
        <w:cantSplit/>
      </w:trPr>
      <w:tc>
        <w:tcPr>
          <w:tcW w:w="0" w:type="pct"/>
        </w:tcPr>
        <w:p w:rsidR="00EC379B" w:rsidRDefault="00B210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10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20064</w:t>
          </w:r>
        </w:p>
      </w:tc>
      <w:tc>
        <w:tcPr>
          <w:tcW w:w="2453" w:type="pct"/>
        </w:tcPr>
        <w:p w:rsidR="00EC379B" w:rsidRDefault="00B21027" w:rsidP="006D504F">
          <w:pPr>
            <w:pStyle w:val="Footer"/>
            <w:rPr>
              <w:rStyle w:val="PageNumber"/>
            </w:rPr>
          </w:pPr>
        </w:p>
        <w:p w:rsidR="00EC379B" w:rsidRDefault="00B210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6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10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EC379B" w:rsidRDefault="00B210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10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7C" w:rsidRDefault="00B2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1027">
      <w:r>
        <w:separator/>
      </w:r>
    </w:p>
  </w:footnote>
  <w:footnote w:type="continuationSeparator" w:id="0">
    <w:p w:rsidR="00000000" w:rsidRDefault="00B2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7C" w:rsidRDefault="00B21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7C" w:rsidRDefault="00B21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7C" w:rsidRDefault="00B21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820"/>
    <w:multiLevelType w:val="hybridMultilevel"/>
    <w:tmpl w:val="CB1A3E7A"/>
    <w:lvl w:ilvl="0" w:tplc="2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C3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6A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5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83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0D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E5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0A0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5C51"/>
    <w:multiLevelType w:val="hybridMultilevel"/>
    <w:tmpl w:val="B866D9D2"/>
    <w:lvl w:ilvl="0" w:tplc="1518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4B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20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8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E0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25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87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68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2DBB"/>
    <w:multiLevelType w:val="hybridMultilevel"/>
    <w:tmpl w:val="4C84D762"/>
    <w:lvl w:ilvl="0" w:tplc="67D6E164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6232954E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8D4A1DA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95DA77D8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3EFD06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994A21B6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CB88953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A788A21E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A52E8DA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3D2246C"/>
    <w:multiLevelType w:val="hybridMultilevel"/>
    <w:tmpl w:val="0D2A7F0A"/>
    <w:lvl w:ilvl="0" w:tplc="AAD8C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C0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0A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E7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A2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E6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A3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440E"/>
    <w:multiLevelType w:val="hybridMultilevel"/>
    <w:tmpl w:val="1F5EDAB6"/>
    <w:lvl w:ilvl="0" w:tplc="1EA63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CA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45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40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2A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0E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AF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6D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E0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5C"/>
    <w:rsid w:val="0036665C"/>
    <w:rsid w:val="00B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33FB4A-49B6-4657-8EAA-3BDD3C7E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78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7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78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80B"/>
    <w:rPr>
      <w:b/>
      <w:bCs/>
    </w:rPr>
  </w:style>
  <w:style w:type="paragraph" w:styleId="Revision">
    <w:name w:val="Revision"/>
    <w:hidden/>
    <w:uiPriority w:val="99"/>
    <w:semiHidden/>
    <w:rsid w:val="006C240A"/>
    <w:rPr>
      <w:sz w:val="24"/>
      <w:szCs w:val="24"/>
    </w:rPr>
  </w:style>
  <w:style w:type="character" w:styleId="Hyperlink">
    <w:name w:val="Hyperlink"/>
    <w:basedOn w:val="DefaultParagraphFont"/>
    <w:unhideWhenUsed/>
    <w:rsid w:val="004015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802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8797</Characters>
  <Application>Microsoft Office Word</Application>
  <DocSecurity>4</DocSecurity>
  <Lines>164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HB01442 (Committee Report (Substituted))</vt:lpstr>
    </vt:vector>
  </TitlesOfParts>
  <Company>State of Texas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21265</dc:subject>
  <dc:creator>State of Texas</dc:creator>
  <dc:description>HB 1442 by Paddie-(H)Pensions, Investments &amp; Financial Services (Substitute Document Number: 86R 20064)</dc:description>
  <cp:lastModifiedBy>Erin Conway</cp:lastModifiedBy>
  <cp:revision>2</cp:revision>
  <cp:lastPrinted>2019-03-22T22:51:00Z</cp:lastPrinted>
  <dcterms:created xsi:type="dcterms:W3CDTF">2019-03-26T17:46:00Z</dcterms:created>
  <dcterms:modified xsi:type="dcterms:W3CDTF">2019-03-26T17:46:00Z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19.81.1561</vt:lpwstr>
  </property>
</Properties>
</file>