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360E" w:rsidTr="00345119">
        <w:tc>
          <w:tcPr>
            <w:tcW w:w="9576" w:type="dxa"/>
            <w:noWrap/>
          </w:tcPr>
          <w:p w:rsidR="008423E4" w:rsidRPr="0022177D" w:rsidRDefault="00AE07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E0769" w:rsidP="008423E4">
      <w:pPr>
        <w:jc w:val="center"/>
      </w:pPr>
    </w:p>
    <w:p w:rsidR="008423E4" w:rsidRPr="00B31F0E" w:rsidRDefault="00AE0769" w:rsidP="008423E4"/>
    <w:p w:rsidR="008423E4" w:rsidRPr="00742794" w:rsidRDefault="00AE07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360E" w:rsidTr="00345119">
        <w:tc>
          <w:tcPr>
            <w:tcW w:w="9576" w:type="dxa"/>
          </w:tcPr>
          <w:p w:rsidR="008423E4" w:rsidRPr="00861995" w:rsidRDefault="00AE0769" w:rsidP="00345119">
            <w:pPr>
              <w:jc w:val="right"/>
            </w:pPr>
            <w:r>
              <w:t>C.S.H.B. 1453</w:t>
            </w:r>
          </w:p>
        </w:tc>
      </w:tr>
      <w:tr w:rsidR="00D9360E" w:rsidTr="00345119">
        <w:tc>
          <w:tcPr>
            <w:tcW w:w="9576" w:type="dxa"/>
          </w:tcPr>
          <w:p w:rsidR="008423E4" w:rsidRPr="00861995" w:rsidRDefault="00AE0769" w:rsidP="00460B7D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D9360E" w:rsidTr="00345119">
        <w:tc>
          <w:tcPr>
            <w:tcW w:w="9576" w:type="dxa"/>
          </w:tcPr>
          <w:p w:rsidR="008423E4" w:rsidRPr="00861995" w:rsidRDefault="00AE0769" w:rsidP="00345119">
            <w:pPr>
              <w:jc w:val="right"/>
            </w:pPr>
            <w:r>
              <w:t>Public Education</w:t>
            </w:r>
          </w:p>
        </w:tc>
      </w:tr>
      <w:tr w:rsidR="00D9360E" w:rsidTr="00345119">
        <w:tc>
          <w:tcPr>
            <w:tcW w:w="9576" w:type="dxa"/>
          </w:tcPr>
          <w:p w:rsidR="008423E4" w:rsidRDefault="00AE076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E0769" w:rsidP="008423E4">
      <w:pPr>
        <w:tabs>
          <w:tab w:val="right" w:pos="9360"/>
        </w:tabs>
      </w:pPr>
    </w:p>
    <w:p w:rsidR="008423E4" w:rsidRDefault="00AE0769" w:rsidP="008423E4"/>
    <w:p w:rsidR="008423E4" w:rsidRDefault="00AE07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360E" w:rsidTr="00345119">
        <w:tc>
          <w:tcPr>
            <w:tcW w:w="9576" w:type="dxa"/>
          </w:tcPr>
          <w:p w:rsidR="008423E4" w:rsidRPr="00A8133F" w:rsidRDefault="00AE0769" w:rsidP="00736A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E0769" w:rsidP="00736ACF"/>
          <w:p w:rsidR="008423E4" w:rsidRDefault="00AE0769" w:rsidP="00736ACF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current and projected shortages of special education teachers, along with a lack of relevant training for mainstream classroom teachers, may undermine a principle </w:t>
            </w:r>
            <w:r>
              <w:t>in</w:t>
            </w:r>
            <w:r>
              <w:t xml:space="preserve"> federal law </w:t>
            </w:r>
            <w:r>
              <w:t>that requires</w:t>
            </w:r>
            <w:r>
              <w:t xml:space="preserve"> </w:t>
            </w:r>
            <w:r>
              <w:t xml:space="preserve">special education students to be taught in </w:t>
            </w:r>
            <w:r>
              <w:t>the least restr</w:t>
            </w:r>
            <w:r>
              <w:t xml:space="preserve">ictive appropriate environment. </w:t>
            </w:r>
            <w:r w:rsidRPr="00682058">
              <w:t>C.S.</w:t>
            </w:r>
            <w:r>
              <w:t xml:space="preserve">H.B. 1453 seeks to remedy this situation by requiring </w:t>
            </w:r>
            <w:r>
              <w:t xml:space="preserve">for all classroom teachers </w:t>
            </w:r>
            <w:r>
              <w:t>a minimum level of training relating to teaching students with disabilities.</w:t>
            </w:r>
          </w:p>
          <w:p w:rsidR="008423E4" w:rsidRPr="00E26B13" w:rsidRDefault="00AE0769" w:rsidP="00736ACF">
            <w:pPr>
              <w:rPr>
                <w:b/>
              </w:rPr>
            </w:pPr>
          </w:p>
        </w:tc>
      </w:tr>
      <w:tr w:rsidR="00D9360E" w:rsidTr="00345119">
        <w:tc>
          <w:tcPr>
            <w:tcW w:w="9576" w:type="dxa"/>
          </w:tcPr>
          <w:p w:rsidR="0017725B" w:rsidRDefault="00AE0769" w:rsidP="00736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E0769" w:rsidP="00736ACF">
            <w:pPr>
              <w:rPr>
                <w:b/>
                <w:u w:val="single"/>
              </w:rPr>
            </w:pPr>
          </w:p>
          <w:p w:rsidR="00585A64" w:rsidRPr="00585A64" w:rsidRDefault="00AE0769" w:rsidP="00736ACF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E0769" w:rsidP="00736ACF">
            <w:pPr>
              <w:rPr>
                <w:b/>
                <w:u w:val="single"/>
              </w:rPr>
            </w:pPr>
          </w:p>
        </w:tc>
      </w:tr>
      <w:tr w:rsidR="00D9360E" w:rsidTr="00345119">
        <w:tc>
          <w:tcPr>
            <w:tcW w:w="9576" w:type="dxa"/>
          </w:tcPr>
          <w:p w:rsidR="008423E4" w:rsidRPr="00A8133F" w:rsidRDefault="00AE0769" w:rsidP="00736A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AE0769" w:rsidP="00736ACF"/>
          <w:p w:rsidR="00871F68" w:rsidRDefault="00AE0769" w:rsidP="00736A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871F68">
              <w:t xml:space="preserve">State Board for Educator Certification </w:t>
            </w:r>
            <w:r>
              <w:t xml:space="preserve">in SECTION </w:t>
            </w:r>
            <w:r>
              <w:t xml:space="preserve">3 </w:t>
            </w:r>
            <w:r>
              <w:t>and the Texas Education Agency in SECTION 4 of this bill.</w:t>
            </w:r>
          </w:p>
          <w:p w:rsidR="008423E4" w:rsidRPr="00E21FDC" w:rsidRDefault="00AE0769" w:rsidP="00736ACF">
            <w:pPr>
              <w:rPr>
                <w:b/>
              </w:rPr>
            </w:pPr>
          </w:p>
        </w:tc>
      </w:tr>
      <w:tr w:rsidR="00D9360E" w:rsidTr="00345119">
        <w:tc>
          <w:tcPr>
            <w:tcW w:w="9576" w:type="dxa"/>
          </w:tcPr>
          <w:p w:rsidR="008423E4" w:rsidRPr="00A8133F" w:rsidRDefault="00AE0769" w:rsidP="00736A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E0769" w:rsidP="00736ACF"/>
          <w:p w:rsidR="007A77B6" w:rsidRDefault="00AE0769" w:rsidP="00736ACF">
            <w:pPr>
              <w:pStyle w:val="Header"/>
              <w:jc w:val="both"/>
            </w:pPr>
            <w:r w:rsidRPr="00682058">
              <w:t>C.S.</w:t>
            </w:r>
            <w:r>
              <w:t xml:space="preserve">H.B. 1453 </w:t>
            </w:r>
            <w:r>
              <w:t xml:space="preserve">amends the Education Code to </w:t>
            </w:r>
            <w:r>
              <w:t>include among the core services each regional education service center is required to maintain for purchase by public school districts and campuses</w:t>
            </w:r>
            <w:r w:rsidRPr="00871F68">
              <w:t xml:space="preserve"> assistance </w:t>
            </w:r>
            <w:r>
              <w:t xml:space="preserve">provided </w:t>
            </w:r>
            <w:r w:rsidRPr="00871F68">
              <w:t xml:space="preserve">through responsive remote coaching </w:t>
            </w:r>
            <w:r>
              <w:t>to guide teachers</w:t>
            </w:r>
            <w:r w:rsidRPr="00871F68">
              <w:t xml:space="preserve"> in rural areas through the delivery</w:t>
            </w:r>
            <w:r w:rsidRPr="00871F68">
              <w:t xml:space="preserve"> of instruction and services to students with disabilities as needed through existing </w:t>
            </w:r>
            <w:r>
              <w:t>Texas Education Agency (TEA)</w:t>
            </w:r>
            <w:r w:rsidRPr="00871F68">
              <w:t xml:space="preserve"> infrastructure</w:t>
            </w:r>
            <w:r>
              <w:t xml:space="preserve">. This provision applies beginning with the 2019-2020 school year. </w:t>
            </w:r>
          </w:p>
          <w:p w:rsidR="007A77B6" w:rsidRDefault="00AE0769" w:rsidP="00736ACF">
            <w:pPr>
              <w:pStyle w:val="Header"/>
              <w:jc w:val="both"/>
            </w:pPr>
          </w:p>
          <w:p w:rsidR="00BD708E" w:rsidRDefault="00AE0769" w:rsidP="00736ACF">
            <w:pPr>
              <w:pStyle w:val="Header"/>
              <w:jc w:val="both"/>
            </w:pPr>
            <w:r w:rsidRPr="00682058">
              <w:t>C.S.</w:t>
            </w:r>
            <w:r>
              <w:t xml:space="preserve">H.B. 1453 </w:t>
            </w:r>
            <w:r>
              <w:t>require</w:t>
            </w:r>
            <w:r>
              <w:t>s</w:t>
            </w:r>
            <w:r>
              <w:t xml:space="preserve"> one of the </w:t>
            </w:r>
            <w:r w:rsidRPr="00890D20">
              <w:t>members</w:t>
            </w:r>
            <w:r>
              <w:t xml:space="preserve"> of the State Boa</w:t>
            </w:r>
            <w:r>
              <w:t>rd for Educator Certification</w:t>
            </w:r>
            <w:r>
              <w:t xml:space="preserve"> (SBEC)</w:t>
            </w:r>
            <w:r>
              <w:t xml:space="preserve"> who </w:t>
            </w:r>
            <w:r>
              <w:t xml:space="preserve">must be </w:t>
            </w:r>
            <w:r w:rsidRPr="00890D20">
              <w:t>teach</w:t>
            </w:r>
            <w:r>
              <w:t xml:space="preserve">ers employed in public schools </w:t>
            </w:r>
            <w:r>
              <w:t xml:space="preserve">to </w:t>
            </w:r>
            <w:r w:rsidRPr="00890D20">
              <w:t xml:space="preserve">be </w:t>
            </w:r>
            <w:r>
              <w:t xml:space="preserve">a </w:t>
            </w:r>
            <w:r>
              <w:t xml:space="preserve">certified educator </w:t>
            </w:r>
            <w:r w:rsidRPr="00890D20">
              <w:t xml:space="preserve">in special education </w:t>
            </w:r>
            <w:r>
              <w:t xml:space="preserve">who has </w:t>
            </w:r>
            <w:r w:rsidRPr="00890D20">
              <w:t>classroom experience</w:t>
            </w:r>
            <w:r>
              <w:t xml:space="preserve">. </w:t>
            </w:r>
            <w:r>
              <w:t xml:space="preserve">This requirement </w:t>
            </w:r>
            <w:r w:rsidRPr="003829EC">
              <w:t xml:space="preserve">does not affect the entitlement of </w:t>
            </w:r>
            <w:r>
              <w:t xml:space="preserve">such </w:t>
            </w:r>
            <w:r w:rsidRPr="003829EC">
              <w:t xml:space="preserve">teacher members serving on the </w:t>
            </w:r>
            <w:r>
              <w:t>SBEC</w:t>
            </w:r>
            <w:r w:rsidRPr="003829EC">
              <w:t xml:space="preserve"> </w:t>
            </w:r>
            <w:r w:rsidRPr="003829EC">
              <w:t xml:space="preserve">immediately before the </w:t>
            </w:r>
            <w:r>
              <w:t xml:space="preserve">bill's </w:t>
            </w:r>
            <w:r w:rsidRPr="003829EC">
              <w:t xml:space="preserve">effective date to continue to carry out the members' duties for the remainder of the members' terms. </w:t>
            </w:r>
            <w:r>
              <w:t>The bill requires t</w:t>
            </w:r>
            <w:r w:rsidRPr="003829EC">
              <w:t xml:space="preserve">he governor </w:t>
            </w:r>
            <w:r>
              <w:t xml:space="preserve">to </w:t>
            </w:r>
            <w:r w:rsidRPr="003829EC">
              <w:t xml:space="preserve">appoint a teacher member </w:t>
            </w:r>
            <w:r>
              <w:t>who meets the requirement</w:t>
            </w:r>
            <w:r>
              <w:t xml:space="preserve"> for certification in special education</w:t>
            </w:r>
            <w:r>
              <w:t xml:space="preserve"> </w:t>
            </w:r>
            <w:r w:rsidRPr="003829EC">
              <w:t>o</w:t>
            </w:r>
            <w:r w:rsidRPr="003829EC">
              <w:t xml:space="preserve">n the first vacancy </w:t>
            </w:r>
            <w:r>
              <w:t xml:space="preserve">of </w:t>
            </w:r>
            <w:r w:rsidRPr="003829EC">
              <w:t xml:space="preserve">a </w:t>
            </w:r>
            <w:r>
              <w:t>SBEC</w:t>
            </w:r>
            <w:r w:rsidRPr="003829EC">
              <w:t xml:space="preserve"> position held by a teacher member </w:t>
            </w:r>
            <w:r w:rsidRPr="003829EC">
              <w:t xml:space="preserve">that occurs after the </w:t>
            </w:r>
            <w:r>
              <w:t xml:space="preserve">bill's </w:t>
            </w:r>
            <w:r w:rsidRPr="003829EC">
              <w:t>effective date.</w:t>
            </w:r>
          </w:p>
          <w:p w:rsidR="00BD708E" w:rsidRPr="00672087" w:rsidRDefault="00AE0769" w:rsidP="00736ACF">
            <w:pPr>
              <w:pStyle w:val="Header"/>
              <w:jc w:val="both"/>
              <w:rPr>
                <w:sz w:val="22"/>
              </w:rPr>
            </w:pPr>
          </w:p>
          <w:p w:rsidR="0025798F" w:rsidRDefault="00AE0769" w:rsidP="00736ACF">
            <w:pPr>
              <w:pStyle w:val="Header"/>
              <w:jc w:val="both"/>
            </w:pPr>
            <w:r>
              <w:t>C.S.H.B. 1453</w:t>
            </w:r>
            <w:r>
              <w:t xml:space="preserve"> requires t</w:t>
            </w:r>
            <w:r w:rsidRPr="00890D20">
              <w:t xml:space="preserve">he </w:t>
            </w:r>
            <w:r>
              <w:t>SBEC</w:t>
            </w:r>
            <w:r w:rsidRPr="00890D20">
              <w:t xml:space="preserve"> </w:t>
            </w:r>
            <w:r>
              <w:t xml:space="preserve">to </w:t>
            </w:r>
            <w:r w:rsidRPr="00890D20">
              <w:t xml:space="preserve">propose rules to establish a minimum requirement </w:t>
            </w:r>
            <w:r>
              <w:t>for</w:t>
            </w:r>
            <w:r w:rsidRPr="00890D20">
              <w:t xml:space="preserve"> </w:t>
            </w:r>
            <w:r w:rsidRPr="00890D20">
              <w:t>fiel</w:t>
            </w:r>
            <w:r>
              <w:t>d</w:t>
            </w:r>
            <w:r>
              <w:noBreakHyphen/>
            </w:r>
            <w:r>
              <w:t xml:space="preserve">based experience in which a </w:t>
            </w:r>
            <w:r w:rsidRPr="00890D20">
              <w:t xml:space="preserve">candidate </w:t>
            </w:r>
            <w:r>
              <w:t xml:space="preserve">for </w:t>
            </w:r>
            <w:r>
              <w:t xml:space="preserve">initial </w:t>
            </w:r>
            <w:r>
              <w:t xml:space="preserve">teacher certification </w:t>
            </w:r>
            <w:r w:rsidRPr="00890D20">
              <w:t xml:space="preserve">is actively engaged in instructional or educational activities to implement </w:t>
            </w:r>
            <w:r>
              <w:t xml:space="preserve">an </w:t>
            </w:r>
            <w:r w:rsidRPr="00890D20">
              <w:t xml:space="preserve">individualized education </w:t>
            </w:r>
            <w:r>
              <w:t>program</w:t>
            </w:r>
            <w:r w:rsidRPr="00890D20">
              <w:t xml:space="preserve"> for </w:t>
            </w:r>
            <w:r>
              <w:t xml:space="preserve">a </w:t>
            </w:r>
            <w:r w:rsidRPr="00890D20">
              <w:t xml:space="preserve">student with </w:t>
            </w:r>
            <w:r>
              <w:t xml:space="preserve">a </w:t>
            </w:r>
            <w:r w:rsidRPr="00890D20">
              <w:t>disabilit</w:t>
            </w:r>
            <w:r>
              <w:t>y</w:t>
            </w:r>
            <w:r w:rsidRPr="00890D20">
              <w:t>.</w:t>
            </w:r>
            <w:r>
              <w:t xml:space="preserve"> </w:t>
            </w:r>
            <w:r>
              <w:t>This requirement applies only to an initial certification issued on or after September 1,</w:t>
            </w:r>
            <w:r>
              <w:t xml:space="preserve"> 2020</w:t>
            </w:r>
            <w:r>
              <w:t>,</w:t>
            </w:r>
            <w:r>
              <w:t xml:space="preserve"> and expressly does not affect the validity of a certification issued before September 1, 2020</w:t>
            </w:r>
            <w:r>
              <w:t>,</w:t>
            </w:r>
            <w:r>
              <w:t xml:space="preserve"> or the eligibility of a person who holds a certification issued before September 1, 2020, to obtain a subsequent renewal of the certification in accordanc</w:t>
            </w:r>
            <w:r>
              <w:t xml:space="preserve">e with </w:t>
            </w:r>
            <w:r>
              <w:t>SBEC</w:t>
            </w:r>
            <w:r>
              <w:t xml:space="preserve"> rule.</w:t>
            </w:r>
            <w:r>
              <w:t xml:space="preserve"> </w:t>
            </w:r>
          </w:p>
          <w:p w:rsidR="0025798F" w:rsidRDefault="00AE0769" w:rsidP="00736ACF">
            <w:pPr>
              <w:pStyle w:val="Header"/>
              <w:jc w:val="both"/>
            </w:pPr>
          </w:p>
          <w:p w:rsidR="00E905DE" w:rsidRDefault="00AE0769" w:rsidP="00736ACF">
            <w:pPr>
              <w:pStyle w:val="Header"/>
              <w:jc w:val="both"/>
            </w:pPr>
            <w:r w:rsidRPr="00682058">
              <w:t>C.S.</w:t>
            </w:r>
            <w:r>
              <w:t>H.B. 1453</w:t>
            </w:r>
            <w:r>
              <w:t xml:space="preserve"> </w:t>
            </w:r>
            <w:r>
              <w:t>requires</w:t>
            </w:r>
            <w:r>
              <w:t xml:space="preserve"> </w:t>
            </w:r>
            <w:r>
              <w:t xml:space="preserve">the training </w:t>
            </w:r>
            <w:r>
              <w:t xml:space="preserve">relating </w:t>
            </w:r>
            <w:r w:rsidRPr="005A45C4">
              <w:t xml:space="preserve">to instruction of students with disabilities and designed for educators who work primarily outside the area of special education that is a required component of staff development provided by </w:t>
            </w:r>
            <w:r w:rsidRPr="005A45C4">
              <w:t>a public school district to an educator other than a principal to meet the following criteria</w:t>
            </w:r>
            <w:r>
              <w:t>:</w:t>
            </w:r>
          </w:p>
          <w:p w:rsidR="00E905DE" w:rsidRDefault="00AE0769" w:rsidP="00736A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be developed by TEA in collaboration with regional education service centers;</w:t>
            </w:r>
          </w:p>
          <w:p w:rsidR="00C75B03" w:rsidRDefault="00AE0769" w:rsidP="00736A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be competency-based, interactive, and experiential;</w:t>
            </w:r>
          </w:p>
          <w:p w:rsidR="00C75B03" w:rsidRDefault="00AE0769" w:rsidP="00736A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be delivered in person and </w:t>
            </w:r>
            <w:r>
              <w:t>include at least four hours of instruction;</w:t>
            </w:r>
          </w:p>
          <w:p w:rsidR="00C75B03" w:rsidRDefault="00AE0769" w:rsidP="00736A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be provided on an annual basis as part of a new employee orientation to new district and open-enrollment charter school educators; and</w:t>
            </w:r>
          </w:p>
          <w:p w:rsidR="00C75B03" w:rsidRDefault="00AE0769" w:rsidP="00736AC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be provided on a schedule adopted by TEA by rule </w:t>
            </w:r>
            <w:r w:rsidRPr="00871F68">
              <w:t xml:space="preserve">to existing district and </w:t>
            </w:r>
            <w:r w:rsidRPr="00871F68">
              <w:t>charter school</w:t>
            </w:r>
            <w:r>
              <w:t xml:space="preserve"> educators </w:t>
            </w:r>
            <w:r w:rsidRPr="00871F68">
              <w:t>who are responsible for classroom implementation of a studen</w:t>
            </w:r>
            <w:r>
              <w:t>t's individualized education program.</w:t>
            </w:r>
          </w:p>
          <w:p w:rsidR="008C025A" w:rsidRDefault="00AE0769" w:rsidP="00736ACF">
            <w:pPr>
              <w:pStyle w:val="Header"/>
              <w:jc w:val="both"/>
            </w:pPr>
            <w:r>
              <w:t>The bill requires</w:t>
            </w:r>
            <w:r>
              <w:t xml:space="preserve"> staff development</w:t>
            </w:r>
            <w:r>
              <w:t xml:space="preserve"> training </w:t>
            </w:r>
            <w:r>
              <w:t xml:space="preserve">for such educators </w:t>
            </w:r>
            <w:r>
              <w:t>to require the person to demonstrate:</w:t>
            </w:r>
          </w:p>
          <w:p w:rsidR="008C025A" w:rsidRDefault="00AE0769" w:rsidP="00736AC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EE769E">
              <w:t>basic knowledge of each disabil</w:t>
            </w:r>
            <w:r w:rsidRPr="00EE769E">
              <w:t xml:space="preserve">ity category under the </w:t>
            </w:r>
            <w:r>
              <w:t xml:space="preserve">federal </w:t>
            </w:r>
            <w:r w:rsidRPr="00EE769E">
              <w:t>Individuals with Disabilities Education Act and how each category can affect student learning and development</w:t>
            </w:r>
            <w:r>
              <w:t>;</w:t>
            </w:r>
          </w:p>
          <w:p w:rsidR="008C025A" w:rsidRDefault="00AE0769" w:rsidP="00736AC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competence in the use of certain proactive instructional planning techniques; and </w:t>
            </w:r>
          </w:p>
          <w:p w:rsidR="008C025A" w:rsidRDefault="00AE0769" w:rsidP="00736AC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competence in the use of certai</w:t>
            </w:r>
            <w:r>
              <w:t xml:space="preserve">n evidence-based inclusive instructional practices. </w:t>
            </w:r>
          </w:p>
          <w:p w:rsidR="002F7FB1" w:rsidRDefault="00AE0769" w:rsidP="00736ACF">
            <w:pPr>
              <w:pStyle w:val="Header"/>
              <w:jc w:val="both"/>
            </w:pPr>
            <w:r>
              <w:t xml:space="preserve">The bill requires the district to provide the training </w:t>
            </w:r>
            <w:r w:rsidRPr="00EE769E">
              <w:t xml:space="preserve">to an educator who works primarily outside the area of special education </w:t>
            </w:r>
            <w:r>
              <w:t>unless</w:t>
            </w:r>
            <w:r w:rsidRPr="00EE769E">
              <w:t xml:space="preserve"> the educator has completed equivalent </w:t>
            </w:r>
            <w:r>
              <w:t>TEA-approved training.</w:t>
            </w:r>
            <w:r>
              <w:t xml:space="preserve"> </w:t>
            </w:r>
            <w:r w:rsidRPr="003829EC">
              <w:t>Th</w:t>
            </w:r>
            <w:r>
              <w:t>ese</w:t>
            </w:r>
            <w:r w:rsidRPr="003829EC">
              <w:t xml:space="preserve"> p</w:t>
            </w:r>
            <w:r w:rsidRPr="003829EC">
              <w:t>rovision</w:t>
            </w:r>
            <w:r>
              <w:t>s</w:t>
            </w:r>
            <w:r w:rsidRPr="003829EC">
              <w:t xml:space="preserve"> appl</w:t>
            </w:r>
            <w:r>
              <w:t>y</w:t>
            </w:r>
            <w:r w:rsidRPr="003829EC">
              <w:t xml:space="preserve"> beginning with the 2019-2020 school year.</w:t>
            </w:r>
          </w:p>
          <w:p w:rsidR="001D0665" w:rsidRPr="00835628" w:rsidRDefault="00AE0769" w:rsidP="00736ACF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D9360E" w:rsidTr="00345119">
        <w:tc>
          <w:tcPr>
            <w:tcW w:w="9576" w:type="dxa"/>
          </w:tcPr>
          <w:p w:rsidR="008423E4" w:rsidRPr="00A8133F" w:rsidRDefault="00AE0769" w:rsidP="00736A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E0769" w:rsidP="00736ACF"/>
          <w:p w:rsidR="008423E4" w:rsidRPr="003624F2" w:rsidRDefault="00AE0769" w:rsidP="00736A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E0769" w:rsidP="00736ACF">
            <w:pPr>
              <w:rPr>
                <w:b/>
              </w:rPr>
            </w:pPr>
          </w:p>
        </w:tc>
      </w:tr>
      <w:tr w:rsidR="00D9360E" w:rsidTr="00345119">
        <w:tc>
          <w:tcPr>
            <w:tcW w:w="9576" w:type="dxa"/>
          </w:tcPr>
          <w:p w:rsidR="00460B7D" w:rsidRDefault="00AE0769" w:rsidP="00736AC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9331E" w:rsidRDefault="00AE0769" w:rsidP="00736ACF">
            <w:pPr>
              <w:jc w:val="both"/>
            </w:pPr>
          </w:p>
          <w:p w:rsidR="0069331E" w:rsidRDefault="00AE0769" w:rsidP="00736ACF">
            <w:pPr>
              <w:jc w:val="both"/>
            </w:pPr>
            <w:r>
              <w:t xml:space="preserve">While C.S.H.B. 1453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D3032D" w:rsidRDefault="00AE0769" w:rsidP="00736ACF">
            <w:pPr>
              <w:jc w:val="both"/>
            </w:pPr>
          </w:p>
          <w:p w:rsidR="000D1064" w:rsidRDefault="00AE0769" w:rsidP="00736ACF">
            <w:pPr>
              <w:spacing w:before="120" w:after="120"/>
              <w:jc w:val="both"/>
            </w:pPr>
            <w:r>
              <w:t>The substitute, with regard to staff development training relating to the instruction of students with</w:t>
            </w:r>
            <w:r>
              <w:t xml:space="preserve"> disabilities</w:t>
            </w:r>
            <w:r>
              <w:t xml:space="preserve"> designed for educators who work primarily outside the area of special education</w:t>
            </w:r>
            <w:r>
              <w:t>:</w:t>
            </w:r>
          </w:p>
          <w:p w:rsidR="000D1064" w:rsidRDefault="00AE0769" w:rsidP="00736AC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includes a requirement for </w:t>
            </w:r>
            <w:r w:rsidRPr="0095732A">
              <w:t>the training to be developed by TEA in collaboration with regional educational service centers</w:t>
            </w:r>
            <w:r>
              <w:t>;</w:t>
            </w:r>
          </w:p>
          <w:p w:rsidR="000D1064" w:rsidRDefault="00AE0769" w:rsidP="00736AC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does not include a requirement for the</w:t>
            </w:r>
            <w:r>
              <w:t xml:space="preserve"> training to be provided every five years after an educator initially completes it, but includes a requirement for the training to be provide</w:t>
            </w:r>
            <w:r>
              <w:t>d</w:t>
            </w:r>
            <w:r>
              <w:t xml:space="preserve"> on a schedule adopted by TEA by rule;</w:t>
            </w:r>
            <w:r>
              <w:t xml:space="preserve"> and</w:t>
            </w:r>
          </w:p>
          <w:p w:rsidR="000D1064" w:rsidRDefault="00AE0769" w:rsidP="00736AC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includes a requirement for the provision of the training to an educator</w:t>
            </w:r>
            <w:r>
              <w:t xml:space="preserve"> who works primarily outside the area of special education unless the educator has completed equivalent TEA-approved training.</w:t>
            </w:r>
          </w:p>
          <w:p w:rsidR="000D1064" w:rsidRDefault="00AE0769" w:rsidP="00736ACF">
            <w:pPr>
              <w:jc w:val="both"/>
            </w:pPr>
          </w:p>
          <w:p w:rsidR="00D3032D" w:rsidRDefault="00AE0769" w:rsidP="00736ACF">
            <w:pPr>
              <w:jc w:val="both"/>
            </w:pPr>
            <w:r>
              <w:t xml:space="preserve">The substitute includes </w:t>
            </w:r>
            <w:r>
              <w:t>the following:</w:t>
            </w:r>
          </w:p>
          <w:p w:rsidR="00556A40" w:rsidRDefault="00AE0769" w:rsidP="00736AC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provisions specifying that </w:t>
            </w:r>
            <w:r>
              <w:t>a</w:t>
            </w:r>
            <w:r>
              <w:t xml:space="preserve"> requirement for certain field-based experience prescribed by</w:t>
            </w:r>
            <w:r>
              <w:t xml:space="preserve"> the bill for initial educator certification does not affect the validity of a certification issued on or before September 1, 2020</w:t>
            </w:r>
            <w:r>
              <w:t>,</w:t>
            </w:r>
            <w:r>
              <w:t xml:space="preserve"> or the eligibility of the certified person to renew such certification;</w:t>
            </w:r>
          </w:p>
          <w:p w:rsidR="00D3032D" w:rsidRDefault="00AE0769" w:rsidP="00736AC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clarification that a requirement for the appointme</w:t>
            </w:r>
            <w:r>
              <w:t>nt of a certain teacher member to the SBEC is for such an appointment on the first appropriate vacancy</w:t>
            </w:r>
            <w:r>
              <w:t xml:space="preserve"> and does not affect the service of previously appointed members</w:t>
            </w:r>
            <w:r>
              <w:t>;</w:t>
            </w:r>
          </w:p>
          <w:p w:rsidR="00D864B4" w:rsidRDefault="00AE0769" w:rsidP="00736ACF">
            <w:pPr>
              <w:spacing w:before="120" w:after="120"/>
              <w:contextualSpacing/>
              <w:jc w:val="both"/>
            </w:pPr>
          </w:p>
          <w:p w:rsidR="0095732A" w:rsidRDefault="00AE0769" w:rsidP="00736ACF">
            <w:pPr>
              <w:spacing w:before="120" w:after="120"/>
              <w:jc w:val="both"/>
            </w:pPr>
            <w:r>
              <w:t xml:space="preserve">The substitute limits </w:t>
            </w:r>
            <w:r>
              <w:t>application of the bill's</w:t>
            </w:r>
            <w:r>
              <w:t xml:space="preserve"> provisions beginning with the 2019-2020</w:t>
            </w:r>
            <w:r>
              <w:t xml:space="preserve"> school year to </w:t>
            </w:r>
            <w:r>
              <w:t>its</w:t>
            </w:r>
            <w:r>
              <w:t xml:space="preserve"> provisions </w:t>
            </w:r>
            <w:r>
              <w:t>relating to remote coaching offered by regional education service centers and relating to required staff development training.</w:t>
            </w:r>
          </w:p>
          <w:p w:rsidR="00460B7D" w:rsidRPr="00460B7D" w:rsidRDefault="00AE0769" w:rsidP="00736ACF">
            <w:pPr>
              <w:jc w:val="both"/>
              <w:rPr>
                <w:b/>
                <w:u w:val="single"/>
              </w:rPr>
            </w:pPr>
          </w:p>
        </w:tc>
      </w:tr>
      <w:tr w:rsidR="00D9360E" w:rsidTr="00345119">
        <w:tc>
          <w:tcPr>
            <w:tcW w:w="9576" w:type="dxa"/>
          </w:tcPr>
          <w:p w:rsidR="00460B7D" w:rsidRPr="009C1E9A" w:rsidRDefault="00AE0769" w:rsidP="00736ACF">
            <w:pPr>
              <w:rPr>
                <w:b/>
                <w:u w:val="single"/>
              </w:rPr>
            </w:pPr>
          </w:p>
        </w:tc>
      </w:tr>
      <w:tr w:rsidR="00D9360E" w:rsidTr="00345119">
        <w:tc>
          <w:tcPr>
            <w:tcW w:w="9576" w:type="dxa"/>
          </w:tcPr>
          <w:p w:rsidR="00460B7D" w:rsidRPr="00460B7D" w:rsidRDefault="00AE0769" w:rsidP="00736ACF">
            <w:pPr>
              <w:jc w:val="both"/>
            </w:pPr>
          </w:p>
        </w:tc>
      </w:tr>
    </w:tbl>
    <w:p w:rsidR="008423E4" w:rsidRPr="00BE0E75" w:rsidRDefault="00AE07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E076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0769">
      <w:r>
        <w:separator/>
      </w:r>
    </w:p>
  </w:endnote>
  <w:endnote w:type="continuationSeparator" w:id="0">
    <w:p w:rsidR="00000000" w:rsidRDefault="00AE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64" w:rsidRDefault="00AE0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360E" w:rsidTr="009C1E9A">
      <w:trPr>
        <w:cantSplit/>
      </w:trPr>
      <w:tc>
        <w:tcPr>
          <w:tcW w:w="0" w:type="pct"/>
        </w:tcPr>
        <w:p w:rsidR="00137D90" w:rsidRDefault="00AE07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E07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E07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E07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E07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360E" w:rsidTr="009C1E9A">
      <w:trPr>
        <w:cantSplit/>
      </w:trPr>
      <w:tc>
        <w:tcPr>
          <w:tcW w:w="0" w:type="pct"/>
        </w:tcPr>
        <w:p w:rsidR="00EC379B" w:rsidRDefault="00AE07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E07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27297</w:t>
          </w:r>
        </w:p>
      </w:tc>
      <w:tc>
        <w:tcPr>
          <w:tcW w:w="2453" w:type="pct"/>
        </w:tcPr>
        <w:p w:rsidR="00EC379B" w:rsidRDefault="00AE07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19.105.1606</w:t>
          </w:r>
          <w:r>
            <w:fldChar w:fldCharType="end"/>
          </w:r>
        </w:p>
      </w:tc>
    </w:tr>
    <w:tr w:rsidR="00D9360E" w:rsidTr="009C1E9A">
      <w:trPr>
        <w:cantSplit/>
      </w:trPr>
      <w:tc>
        <w:tcPr>
          <w:tcW w:w="0" w:type="pct"/>
        </w:tcPr>
        <w:p w:rsidR="00EC379B" w:rsidRDefault="00AE07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E07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10396</w:t>
          </w:r>
        </w:p>
      </w:tc>
      <w:tc>
        <w:tcPr>
          <w:tcW w:w="2453" w:type="pct"/>
        </w:tcPr>
        <w:p w:rsidR="00EC379B" w:rsidRDefault="00AE0769" w:rsidP="006D504F">
          <w:pPr>
            <w:pStyle w:val="Footer"/>
            <w:rPr>
              <w:rStyle w:val="PageNumber"/>
            </w:rPr>
          </w:pPr>
        </w:p>
        <w:p w:rsidR="00EC379B" w:rsidRDefault="00AE07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36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E07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E07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E07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64" w:rsidRDefault="00AE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0769">
      <w:r>
        <w:separator/>
      </w:r>
    </w:p>
  </w:footnote>
  <w:footnote w:type="continuationSeparator" w:id="0">
    <w:p w:rsidR="00000000" w:rsidRDefault="00AE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64" w:rsidRDefault="00AE0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64" w:rsidRDefault="00AE0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64" w:rsidRDefault="00AE0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5F92"/>
    <w:multiLevelType w:val="hybridMultilevel"/>
    <w:tmpl w:val="45401878"/>
    <w:lvl w:ilvl="0" w:tplc="5F547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AD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A9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B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2C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2B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4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A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85D"/>
    <w:multiLevelType w:val="hybridMultilevel"/>
    <w:tmpl w:val="B204C498"/>
    <w:lvl w:ilvl="0" w:tplc="A0E02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2D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02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8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80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09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40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A3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C6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0580"/>
    <w:multiLevelType w:val="hybridMultilevel"/>
    <w:tmpl w:val="5296A7D0"/>
    <w:lvl w:ilvl="0" w:tplc="DEBA3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05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C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04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05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A2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0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82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AC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7111"/>
    <w:multiLevelType w:val="hybridMultilevel"/>
    <w:tmpl w:val="E83E20B6"/>
    <w:lvl w:ilvl="0" w:tplc="18DE7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E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43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4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1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AE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4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48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EE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0E"/>
    <w:rsid w:val="00AE0769"/>
    <w:rsid w:val="00D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22E1F-38C8-412B-8416-923F922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0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D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D20"/>
    <w:rPr>
      <w:b/>
      <w:bCs/>
    </w:rPr>
  </w:style>
  <w:style w:type="paragraph" w:styleId="ListParagraph">
    <w:name w:val="List Paragraph"/>
    <w:basedOn w:val="Normal"/>
    <w:uiPriority w:val="34"/>
    <w:qFormat/>
    <w:rsid w:val="0095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5452</Characters>
  <Application>Microsoft Office Word</Application>
  <DocSecurity>4</DocSecurity>
  <Lines>119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HB01453 (Committee Report (Substituted))</vt:lpstr>
    </vt:vector>
  </TitlesOfParts>
  <Company>State of Texas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27297</dc:subject>
  <dc:creator>State of Texas</dc:creator>
  <dc:description>HB 1453 by Bernal-(H)Public Education (Substitute Document Number: 86R 10396)</dc:description>
  <cp:lastModifiedBy>Laura Ramsay</cp:lastModifiedBy>
  <cp:revision>2</cp:revision>
  <cp:lastPrinted>2003-11-26T17:21:00Z</cp:lastPrinted>
  <dcterms:created xsi:type="dcterms:W3CDTF">2019-04-17T22:21:00Z</dcterms:created>
  <dcterms:modified xsi:type="dcterms:W3CDTF">2019-04-17T22:21:00Z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19.105.1606</vt:lpwstr>
  </property>
</Properties>
</file>