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945A0" w:rsidTr="00345119">
        <w:tc>
          <w:tcPr>
            <w:tcW w:w="9576" w:type="dxa"/>
            <w:noWrap/>
          </w:tcPr>
          <w:p w:rsidR="008423E4" w:rsidRPr="0022177D" w:rsidRDefault="002A0C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0C32" w:rsidP="008423E4">
      <w:pPr>
        <w:jc w:val="center"/>
      </w:pPr>
    </w:p>
    <w:p w:rsidR="008423E4" w:rsidRPr="00B31F0E" w:rsidRDefault="002A0C32" w:rsidP="008423E4"/>
    <w:p w:rsidR="008423E4" w:rsidRPr="00742794" w:rsidRDefault="002A0C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945A0" w:rsidTr="00345119">
        <w:tc>
          <w:tcPr>
            <w:tcW w:w="9576" w:type="dxa"/>
          </w:tcPr>
          <w:p w:rsidR="008423E4" w:rsidRPr="00861995" w:rsidRDefault="002A0C32" w:rsidP="00345119">
            <w:pPr>
              <w:jc w:val="right"/>
            </w:pPr>
            <w:r>
              <w:t>C.S.H.B. 1455</w:t>
            </w:r>
          </w:p>
        </w:tc>
      </w:tr>
      <w:tr w:rsidR="00C945A0" w:rsidTr="00345119">
        <w:tc>
          <w:tcPr>
            <w:tcW w:w="9576" w:type="dxa"/>
          </w:tcPr>
          <w:p w:rsidR="008423E4" w:rsidRPr="00861995" w:rsidRDefault="002A0C32" w:rsidP="00A52706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C945A0" w:rsidTr="00345119">
        <w:tc>
          <w:tcPr>
            <w:tcW w:w="9576" w:type="dxa"/>
          </w:tcPr>
          <w:p w:rsidR="008423E4" w:rsidRPr="00861995" w:rsidRDefault="002A0C32" w:rsidP="00345119">
            <w:pPr>
              <w:jc w:val="right"/>
            </w:pPr>
            <w:r>
              <w:t>Insurance</w:t>
            </w:r>
          </w:p>
        </w:tc>
      </w:tr>
      <w:tr w:rsidR="00C945A0" w:rsidTr="00345119">
        <w:tc>
          <w:tcPr>
            <w:tcW w:w="9576" w:type="dxa"/>
          </w:tcPr>
          <w:p w:rsidR="008423E4" w:rsidRDefault="002A0C3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A0C32" w:rsidP="008423E4">
      <w:pPr>
        <w:tabs>
          <w:tab w:val="right" w:pos="9360"/>
        </w:tabs>
      </w:pPr>
    </w:p>
    <w:p w:rsidR="008423E4" w:rsidRDefault="002A0C32" w:rsidP="008423E4"/>
    <w:p w:rsidR="008423E4" w:rsidRDefault="002A0C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945A0" w:rsidTr="00345119">
        <w:tc>
          <w:tcPr>
            <w:tcW w:w="9576" w:type="dxa"/>
          </w:tcPr>
          <w:p w:rsidR="008423E4" w:rsidRPr="00A8133F" w:rsidRDefault="002A0C32" w:rsidP="00A91F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0C32" w:rsidP="00A91F77"/>
          <w:p w:rsidR="008423E4" w:rsidRDefault="002A0C32" w:rsidP="00A91F77">
            <w:pPr>
              <w:pStyle w:val="Header"/>
              <w:jc w:val="both"/>
            </w:pPr>
            <w:r>
              <w:t>It has been reported that p</w:t>
            </w:r>
            <w:r>
              <w:t xml:space="preserve">harmacy </w:t>
            </w:r>
            <w:r>
              <w:t>b</w:t>
            </w:r>
            <w:r>
              <w:t xml:space="preserve">enefit </w:t>
            </w:r>
            <w:r>
              <w:t>m</w:t>
            </w:r>
            <w:r>
              <w:t xml:space="preserve">anagers </w:t>
            </w:r>
            <w:r>
              <w:t xml:space="preserve">are </w:t>
            </w:r>
            <w:r>
              <w:t>increasingly</w:t>
            </w:r>
            <w:r>
              <w:t xml:space="preserve"> </w:t>
            </w:r>
            <w:r>
              <w:t xml:space="preserve">auditing pharmacy invoices for purchases from drug wholesalers. </w:t>
            </w:r>
            <w:r>
              <w:t>It has</w:t>
            </w:r>
            <w:r>
              <w:t xml:space="preserve"> been suggested that t</w:t>
            </w:r>
            <w:r>
              <w:t>hese audits</w:t>
            </w:r>
            <w:r>
              <w:t xml:space="preserve"> </w:t>
            </w:r>
            <w:r>
              <w:t xml:space="preserve">can </w:t>
            </w:r>
            <w:r>
              <w:t xml:space="preserve">be </w:t>
            </w:r>
            <w:r>
              <w:t>abusive, seeking to financially penalize audited pharmacies for technical discrepancies arising from legitimate differences between quantities or drug codes stated on a wholesale invoice and those stated on the disp</w:t>
            </w:r>
            <w:r>
              <w:t>ensed prescription or the submitted claim for that prescription.</w:t>
            </w:r>
            <w:r>
              <w:t xml:space="preserve"> </w:t>
            </w:r>
            <w:r>
              <w:t>C.S.</w:t>
            </w:r>
            <w:r>
              <w:t xml:space="preserve">H.B. 1455 seeks to </w:t>
            </w:r>
            <w:r>
              <w:t>curb such</w:t>
            </w:r>
            <w:r>
              <w:t xml:space="preserve"> </w:t>
            </w:r>
            <w:r>
              <w:t xml:space="preserve">audit practices with respect to the </w:t>
            </w:r>
            <w:r>
              <w:t>audit of pharmacists and pharmacies regarding wholesale invoices</w:t>
            </w:r>
            <w:r>
              <w:t>.</w:t>
            </w:r>
          </w:p>
          <w:p w:rsidR="008423E4" w:rsidRPr="00E26B13" w:rsidRDefault="002A0C32" w:rsidP="00A91F77">
            <w:pPr>
              <w:rPr>
                <w:b/>
              </w:rPr>
            </w:pPr>
          </w:p>
        </w:tc>
      </w:tr>
      <w:tr w:rsidR="00C945A0" w:rsidTr="00345119">
        <w:tc>
          <w:tcPr>
            <w:tcW w:w="9576" w:type="dxa"/>
          </w:tcPr>
          <w:p w:rsidR="0017725B" w:rsidRDefault="002A0C32" w:rsidP="00A91F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0C32" w:rsidP="00A91F77">
            <w:pPr>
              <w:rPr>
                <w:b/>
                <w:u w:val="single"/>
              </w:rPr>
            </w:pPr>
          </w:p>
          <w:p w:rsidR="0036559D" w:rsidRPr="0036559D" w:rsidRDefault="002A0C32" w:rsidP="00A91F77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A0C32" w:rsidP="00A91F77">
            <w:pPr>
              <w:rPr>
                <w:b/>
                <w:u w:val="single"/>
              </w:rPr>
            </w:pPr>
          </w:p>
        </w:tc>
      </w:tr>
      <w:tr w:rsidR="00C945A0" w:rsidTr="00345119">
        <w:tc>
          <w:tcPr>
            <w:tcW w:w="9576" w:type="dxa"/>
          </w:tcPr>
          <w:p w:rsidR="008423E4" w:rsidRPr="00A8133F" w:rsidRDefault="002A0C32" w:rsidP="00A91F77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2A0C32" w:rsidP="00A91F77"/>
          <w:p w:rsidR="0036559D" w:rsidRDefault="002A0C32" w:rsidP="00A91F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A0C32" w:rsidP="00A91F77">
            <w:pPr>
              <w:rPr>
                <w:b/>
              </w:rPr>
            </w:pPr>
          </w:p>
        </w:tc>
      </w:tr>
      <w:tr w:rsidR="00C945A0" w:rsidTr="00345119">
        <w:tc>
          <w:tcPr>
            <w:tcW w:w="9576" w:type="dxa"/>
          </w:tcPr>
          <w:p w:rsidR="008423E4" w:rsidRPr="00A8133F" w:rsidRDefault="002A0C32" w:rsidP="00A91F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0C32" w:rsidP="00A91F77"/>
          <w:p w:rsidR="00C6202D" w:rsidRDefault="002A0C32" w:rsidP="00A91F77">
            <w:pPr>
              <w:pStyle w:val="Header"/>
              <w:jc w:val="both"/>
            </w:pPr>
            <w:r>
              <w:t>C.S.</w:t>
            </w:r>
            <w:r>
              <w:t xml:space="preserve">H.B. 1455 amends the Insurance Code to prohibit a health benefit plan issuer or pharmacy benefit manager </w:t>
            </w:r>
            <w:r w:rsidRPr="00FA04BA">
              <w:t xml:space="preserve">that audits wholesale invoices during an audit of a pharmacist or pharmacy </w:t>
            </w:r>
            <w:r>
              <w:t>from auditing</w:t>
            </w:r>
            <w:r w:rsidRPr="00FA04BA">
              <w:t xml:space="preserve"> the pharmacy claims of another health benefit plan or pharmacy</w:t>
            </w:r>
            <w:r w:rsidRPr="00FA04BA">
              <w:t xml:space="preserve"> benefit manager.</w:t>
            </w:r>
            <w:r>
              <w:t xml:space="preserve"> The bill requires </w:t>
            </w:r>
            <w:r>
              <w:t>a</w:t>
            </w:r>
            <w:r w:rsidRPr="00CD785D">
              <w:t xml:space="preserve"> health benefit plan issuer o</w:t>
            </w:r>
            <w:r w:rsidRPr="00CD785D">
              <w:t>r pharmacy benefit manager</w:t>
            </w:r>
            <w:r>
              <w:t xml:space="preserve"> to</w:t>
            </w:r>
            <w:r w:rsidRPr="00FA04BA">
              <w:t xml:space="preserve"> reverse a finding </w:t>
            </w:r>
            <w:r w:rsidRPr="00150640">
              <w:t xml:space="preserve">of a </w:t>
            </w:r>
            <w:r w:rsidRPr="00150640">
              <w:t>discrepancy</w:t>
            </w:r>
            <w:r w:rsidRPr="004564E4">
              <w:t xml:space="preserve"> </w:t>
            </w:r>
            <w:r w:rsidRPr="00FA04BA">
              <w:t>if</w:t>
            </w:r>
            <w:r>
              <w:t>:</w:t>
            </w:r>
            <w:r>
              <w:t xml:space="preserve"> </w:t>
            </w:r>
          </w:p>
          <w:p w:rsidR="00C6202D" w:rsidRDefault="002A0C32" w:rsidP="00A91F7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National Drug Code for the dispensed drug is in a quantity that is a subunit or multiple of the drug purchased by th</w:t>
            </w:r>
            <w:r>
              <w:t xml:space="preserve">e pharmacist or pharmacy as supported by </w:t>
            </w:r>
            <w:r>
              <w:t xml:space="preserve">a </w:t>
            </w:r>
            <w:r>
              <w:t>wholesale invoice</w:t>
            </w:r>
            <w:r>
              <w:t xml:space="preserve">; </w:t>
            </w:r>
          </w:p>
          <w:p w:rsidR="00C6202D" w:rsidRDefault="002A0C32" w:rsidP="00A91F7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pharmacist or pharmacy dispensed the correct quantity of the drug</w:t>
            </w:r>
            <w:r>
              <w:t xml:space="preserve"> according to the prescription</w:t>
            </w:r>
            <w:r>
              <w:t xml:space="preserve">; </w:t>
            </w:r>
            <w:r>
              <w:t xml:space="preserve">and </w:t>
            </w:r>
          </w:p>
          <w:p w:rsidR="00B64B02" w:rsidRDefault="002A0C32" w:rsidP="00A91F7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drug </w:t>
            </w:r>
            <w:r>
              <w:t>dispensed by the pharmacist or pharmacy</w:t>
            </w:r>
            <w:r w:rsidRPr="008E0AFE">
              <w:t xml:space="preserve"> shares all but the last two digits of </w:t>
            </w:r>
            <w:r w:rsidRPr="008E0AFE">
              <w:t>the National Drug Code of the drug reflected on the supplier invoice</w:t>
            </w:r>
            <w:r>
              <w:t xml:space="preserve">. </w:t>
            </w:r>
          </w:p>
          <w:p w:rsidR="00B64B02" w:rsidRDefault="002A0C32" w:rsidP="00A91F77">
            <w:pPr>
              <w:pStyle w:val="Header"/>
              <w:jc w:val="both"/>
            </w:pPr>
          </w:p>
          <w:p w:rsidR="008423E4" w:rsidRDefault="002A0C32" w:rsidP="00A91F77">
            <w:pPr>
              <w:pStyle w:val="Header"/>
              <w:jc w:val="both"/>
            </w:pPr>
            <w:r>
              <w:t>C.S.</w:t>
            </w:r>
            <w:r>
              <w:t>H.B. 1455</w:t>
            </w:r>
            <w:r>
              <w:t xml:space="preserve"> requires a health benefit plan issuer</w:t>
            </w:r>
            <w:r>
              <w:t xml:space="preserve"> or pharmacy benefit manager to</w:t>
            </w:r>
            <w:r>
              <w:t xml:space="preserve"> accept as evidence to support the validity of a pharmacy claim related to a dispensed drug</w:t>
            </w:r>
            <w:r>
              <w:t xml:space="preserve"> </w:t>
            </w:r>
            <w:r>
              <w:t xml:space="preserve">copies of </w:t>
            </w:r>
            <w:r>
              <w:t>supplier invoices in the pharmacist's or pharmacy's possession</w:t>
            </w:r>
            <w:r>
              <w:t>,</w:t>
            </w:r>
            <w:r>
              <w:t xml:space="preserve"> subject to validation</w:t>
            </w:r>
            <w:r>
              <w:t xml:space="preserve">, including supplier invoices issued before the date the drug was dispensed </w:t>
            </w:r>
            <w:r>
              <w:t xml:space="preserve">and not earlier than 60 days before the first day of the audit period </w:t>
            </w:r>
            <w:r>
              <w:t xml:space="preserve">and invoices </w:t>
            </w:r>
            <w:r>
              <w:t>and any supp</w:t>
            </w:r>
            <w:r>
              <w:t xml:space="preserve">orting documents </w:t>
            </w:r>
            <w:r>
              <w:t xml:space="preserve">from any supplier authorized </w:t>
            </w:r>
            <w:r>
              <w:t>by federal o</w:t>
            </w:r>
            <w:r>
              <w:t>r</w:t>
            </w:r>
            <w:r>
              <w:t xml:space="preserve"> state law </w:t>
            </w:r>
            <w:r>
              <w:t>to transfer ownership of the drug acquired by the pharmacist or pharmacy</w:t>
            </w:r>
            <w:r>
              <w:t xml:space="preserve">, and </w:t>
            </w:r>
            <w:r>
              <w:t xml:space="preserve">reports required by </w:t>
            </w:r>
            <w:r>
              <w:t>an</w:t>
            </w:r>
            <w:r>
              <w:t>y</w:t>
            </w:r>
            <w:r>
              <w:t xml:space="preserve"> </w:t>
            </w:r>
            <w:r>
              <w:t>state board or agency.</w:t>
            </w:r>
            <w:r>
              <w:t xml:space="preserve"> The bill requires a </w:t>
            </w:r>
            <w:r w:rsidRPr="0036559D">
              <w:t xml:space="preserve">health benefit plan issuer or </w:t>
            </w:r>
            <w:r>
              <w:t>pharmacy be</w:t>
            </w:r>
            <w:r>
              <w:t>nefit manager</w:t>
            </w:r>
            <w:r>
              <w:t xml:space="preserve"> to provide</w:t>
            </w:r>
            <w:r w:rsidRPr="0036559D">
              <w:t xml:space="preserve">, not later than the fifth business day after </w:t>
            </w:r>
            <w:r>
              <w:t xml:space="preserve">the date of </w:t>
            </w:r>
            <w:r w:rsidRPr="0036559D">
              <w:t>a request by the pharmacist or pharmacy,</w:t>
            </w:r>
            <w:r>
              <w:t xml:space="preserve"> </w:t>
            </w:r>
            <w:r w:rsidRPr="0036559D">
              <w:t>any supporting documents the pharmacist's or pharmacy's suppliers provided to the health benefit plan issuer or pharmacy benefit mana</w:t>
            </w:r>
            <w:r w:rsidRPr="0036559D">
              <w:t>ger.</w:t>
            </w:r>
            <w:r>
              <w:t xml:space="preserve">  </w:t>
            </w:r>
          </w:p>
          <w:p w:rsidR="008423E4" w:rsidRPr="00835628" w:rsidRDefault="002A0C32" w:rsidP="00A91F77">
            <w:pPr>
              <w:rPr>
                <w:b/>
              </w:rPr>
            </w:pPr>
          </w:p>
        </w:tc>
      </w:tr>
      <w:tr w:rsidR="00C945A0" w:rsidTr="00345119">
        <w:tc>
          <w:tcPr>
            <w:tcW w:w="9576" w:type="dxa"/>
          </w:tcPr>
          <w:p w:rsidR="008423E4" w:rsidRPr="00111A40" w:rsidRDefault="002A0C32" w:rsidP="00A91F77">
            <w:pPr>
              <w:pStyle w:val="Heading2"/>
              <w:rPr>
                <w:b/>
              </w:rPr>
            </w:pPr>
            <w:r w:rsidRPr="00A91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EFFECTIVE DATE</w:t>
            </w:r>
            <w:r w:rsidRPr="00A91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423E4" w:rsidRDefault="002A0C32" w:rsidP="00A91F77">
            <w:pPr>
              <w:pStyle w:val="Heading2"/>
            </w:pPr>
          </w:p>
          <w:p w:rsidR="007C2781" w:rsidRDefault="002A0C32" w:rsidP="00A91F77">
            <w:pPr>
              <w:pStyle w:val="Header"/>
              <w:jc w:val="both"/>
            </w:pPr>
            <w:r w:rsidRPr="007C2781">
              <w:t>September 1, 2019.</w:t>
            </w:r>
            <w:r w:rsidRPr="00A13F1A">
              <w:t xml:space="preserve"> </w:t>
            </w:r>
          </w:p>
          <w:p w:rsidR="008423E4" w:rsidRPr="00233FDB" w:rsidRDefault="002A0C32" w:rsidP="00A91F77">
            <w:pPr>
              <w:pStyle w:val="Heading2"/>
              <w:rPr>
                <w:b/>
              </w:rPr>
            </w:pPr>
          </w:p>
        </w:tc>
      </w:tr>
      <w:tr w:rsidR="00C945A0" w:rsidTr="00345119">
        <w:tc>
          <w:tcPr>
            <w:tcW w:w="9576" w:type="dxa"/>
          </w:tcPr>
          <w:p w:rsidR="00A52706" w:rsidRDefault="002A0C32" w:rsidP="00A91F7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C1633" w:rsidRDefault="002A0C32" w:rsidP="00A91F77">
            <w:pPr>
              <w:jc w:val="both"/>
            </w:pPr>
          </w:p>
          <w:p w:rsidR="00BC1633" w:rsidRDefault="002A0C32" w:rsidP="00A91F77">
            <w:pPr>
              <w:jc w:val="both"/>
            </w:pPr>
            <w:r>
              <w:t xml:space="preserve">While C.S.H.B. 1455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BC1633" w:rsidRDefault="002A0C32" w:rsidP="00A91F77">
            <w:pPr>
              <w:jc w:val="both"/>
            </w:pPr>
          </w:p>
          <w:p w:rsidR="00643459" w:rsidRDefault="002A0C32" w:rsidP="00A91F77">
            <w:pPr>
              <w:jc w:val="both"/>
            </w:pPr>
            <w:r>
              <w:t xml:space="preserve">The substitute </w:t>
            </w:r>
            <w:r>
              <w:t xml:space="preserve">revises </w:t>
            </w:r>
            <w:r>
              <w:t xml:space="preserve">certain of the </w:t>
            </w:r>
            <w:r>
              <w:t xml:space="preserve">conditions triggering the requirement for a </w:t>
            </w:r>
            <w:r w:rsidRPr="009F14E9">
              <w:t>health benefit plan issuer o</w:t>
            </w:r>
            <w:r>
              <w:t>r pharmacy benefit manager to</w:t>
            </w:r>
            <w:r w:rsidRPr="009F14E9">
              <w:t xml:space="preserve"> reverse a finding of a discrepancy</w:t>
            </w:r>
            <w:r>
              <w:t>.</w:t>
            </w:r>
            <w:r>
              <w:t xml:space="preserve"> </w:t>
            </w:r>
            <w:r>
              <w:t xml:space="preserve">The substitute </w:t>
            </w:r>
            <w:r>
              <w:t>specifies</w:t>
            </w:r>
            <w:r>
              <w:t xml:space="preserve"> that </w:t>
            </w:r>
            <w:r>
              <w:t>suppli</w:t>
            </w:r>
            <w:r>
              <w:t xml:space="preserve">er invoices required to be accepted by </w:t>
            </w:r>
            <w:r>
              <w:t xml:space="preserve">such an </w:t>
            </w:r>
            <w:r>
              <w:t xml:space="preserve">issuer or manager as </w:t>
            </w:r>
            <w:r w:rsidRPr="009B11A5">
              <w:t>evidence to support the validity of a pharmacy claim</w:t>
            </w:r>
            <w:r>
              <w:t xml:space="preserve"> are subject</w:t>
            </w:r>
            <w:r>
              <w:t xml:space="preserve"> to validation</w:t>
            </w:r>
            <w:r>
              <w:t xml:space="preserve"> and </w:t>
            </w:r>
            <w:r>
              <w:t>limi</w:t>
            </w:r>
            <w:r>
              <w:t>ts</w:t>
            </w:r>
            <w:r>
              <w:t xml:space="preserve"> the period within which </w:t>
            </w:r>
            <w:r>
              <w:t>an</w:t>
            </w:r>
            <w:r>
              <w:t xml:space="preserve"> invoice</w:t>
            </w:r>
            <w:r>
              <w:t xml:space="preserve"> </w:t>
            </w:r>
            <w:r>
              <w:t>is</w:t>
            </w:r>
            <w:r>
              <w:t xml:space="preserve"> issued </w:t>
            </w:r>
            <w:r>
              <w:t>in order for the invoice to be accepted as evidence.</w:t>
            </w:r>
            <w:r>
              <w:t xml:space="preserve"> </w:t>
            </w:r>
            <w:r>
              <w:t>The substitute also includes any supporting documents from certain authorized suppliers as evidence that must be accepted.</w:t>
            </w:r>
          </w:p>
          <w:p w:rsidR="00643459" w:rsidRDefault="002A0C32" w:rsidP="00A91F77">
            <w:pPr>
              <w:jc w:val="both"/>
            </w:pPr>
          </w:p>
          <w:p w:rsidR="009B11A5" w:rsidRDefault="002A0C32" w:rsidP="00A91F77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>prohibit</w:t>
            </w:r>
            <w:r>
              <w:t>ion against</w:t>
            </w:r>
            <w:r>
              <w:t xml:space="preserve"> a health benefit plan issuer or pharmacy benefit manager recouping any amount </w:t>
            </w:r>
            <w:r>
              <w:t xml:space="preserve">based on a wholesale invoice discrepancy under certain </w:t>
            </w:r>
            <w:r>
              <w:t>circumstances</w:t>
            </w:r>
            <w:r>
              <w:t>.</w:t>
            </w:r>
            <w:r>
              <w:t xml:space="preserve">    </w:t>
            </w:r>
          </w:p>
          <w:p w:rsidR="00BC1633" w:rsidRPr="00BC1633" w:rsidRDefault="002A0C32" w:rsidP="00A91F77">
            <w:pPr>
              <w:jc w:val="both"/>
            </w:pPr>
          </w:p>
        </w:tc>
      </w:tr>
      <w:tr w:rsidR="00C945A0" w:rsidTr="00345119">
        <w:tc>
          <w:tcPr>
            <w:tcW w:w="9576" w:type="dxa"/>
          </w:tcPr>
          <w:p w:rsidR="00A52706" w:rsidRPr="009C1E9A" w:rsidRDefault="002A0C32" w:rsidP="00A91F77">
            <w:pPr>
              <w:rPr>
                <w:b/>
                <w:u w:val="single"/>
              </w:rPr>
            </w:pPr>
          </w:p>
        </w:tc>
      </w:tr>
      <w:tr w:rsidR="00C945A0" w:rsidTr="00345119">
        <w:tc>
          <w:tcPr>
            <w:tcW w:w="9576" w:type="dxa"/>
          </w:tcPr>
          <w:p w:rsidR="00A52706" w:rsidRPr="00A52706" w:rsidRDefault="002A0C32" w:rsidP="00A91F77">
            <w:pPr>
              <w:jc w:val="both"/>
            </w:pPr>
          </w:p>
        </w:tc>
      </w:tr>
    </w:tbl>
    <w:p w:rsidR="008423E4" w:rsidRPr="00BE0E75" w:rsidRDefault="002A0C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0C3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0C32">
      <w:r>
        <w:separator/>
      </w:r>
    </w:p>
  </w:endnote>
  <w:endnote w:type="continuationSeparator" w:id="0">
    <w:p w:rsidR="00000000" w:rsidRDefault="002A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945A0" w:rsidTr="009C1E9A">
      <w:trPr>
        <w:cantSplit/>
      </w:trPr>
      <w:tc>
        <w:tcPr>
          <w:tcW w:w="0" w:type="pct"/>
        </w:tcPr>
        <w:p w:rsidR="00137D90" w:rsidRDefault="002A0C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0C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0C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0C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0C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45A0" w:rsidTr="009C1E9A">
      <w:trPr>
        <w:cantSplit/>
      </w:trPr>
      <w:tc>
        <w:tcPr>
          <w:tcW w:w="0" w:type="pct"/>
        </w:tcPr>
        <w:p w:rsidR="00EC379B" w:rsidRDefault="002A0C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0C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26443</w:t>
          </w:r>
        </w:p>
      </w:tc>
      <w:tc>
        <w:tcPr>
          <w:tcW w:w="2453" w:type="pct"/>
        </w:tcPr>
        <w:p w:rsidR="00EC379B" w:rsidRDefault="002A0C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19.101.429</w:t>
          </w:r>
          <w:r>
            <w:fldChar w:fldCharType="end"/>
          </w:r>
        </w:p>
      </w:tc>
    </w:tr>
    <w:tr w:rsidR="00C945A0" w:rsidTr="009C1E9A">
      <w:trPr>
        <w:cantSplit/>
      </w:trPr>
      <w:tc>
        <w:tcPr>
          <w:tcW w:w="0" w:type="pct"/>
        </w:tcPr>
        <w:p w:rsidR="00EC379B" w:rsidRDefault="002A0C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0C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86R </w:t>
          </w:r>
          <w:r>
            <w:rPr>
              <w:rFonts w:ascii="Shruti" w:hAnsi="Shruti"/>
              <w:sz w:val="22"/>
            </w:rPr>
            <w:t>24904</w:t>
          </w:r>
        </w:p>
      </w:tc>
      <w:tc>
        <w:tcPr>
          <w:tcW w:w="2453" w:type="pct"/>
        </w:tcPr>
        <w:p w:rsidR="00EC379B" w:rsidRDefault="002A0C32" w:rsidP="006D504F">
          <w:pPr>
            <w:pStyle w:val="Footer"/>
            <w:rPr>
              <w:rStyle w:val="PageNumber"/>
            </w:rPr>
          </w:pPr>
        </w:p>
        <w:p w:rsidR="00EC379B" w:rsidRDefault="002A0C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45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0C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A0C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0C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0C32">
      <w:r>
        <w:separator/>
      </w:r>
    </w:p>
  </w:footnote>
  <w:footnote w:type="continuationSeparator" w:id="0">
    <w:p w:rsidR="00000000" w:rsidRDefault="002A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1DAB"/>
    <w:multiLevelType w:val="hybridMultilevel"/>
    <w:tmpl w:val="AA7CCB82"/>
    <w:lvl w:ilvl="0" w:tplc="ABA08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A2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2D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89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C4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C0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4D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A8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727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A0"/>
    <w:rsid w:val="002A0C32"/>
    <w:rsid w:val="00C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CFD910-4FCC-4251-868D-753ABC0A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D6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55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5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59D"/>
    <w:rPr>
      <w:b/>
      <w:bCs/>
    </w:rPr>
  </w:style>
  <w:style w:type="paragraph" w:styleId="Revision">
    <w:name w:val="Revision"/>
    <w:hidden/>
    <w:uiPriority w:val="99"/>
    <w:semiHidden/>
    <w:rsid w:val="0036559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D62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3430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HB01455 (Committee Report (Substituted))</vt:lpstr>
    </vt:vector>
  </TitlesOfParts>
  <Company>State of Texas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26443</dc:subject>
  <dc:creator>State of Texas</dc:creator>
  <dc:description>HB 1455 by Hunter-(H)Insurance (Substitute Document Number: 86R 24904)</dc:description>
  <cp:lastModifiedBy>Erin Conway</cp:lastModifiedBy>
  <cp:revision>2</cp:revision>
  <cp:lastPrinted>2003-11-26T17:21:00Z</cp:lastPrinted>
  <dcterms:created xsi:type="dcterms:W3CDTF">2019-04-16T01:44:00Z</dcterms:created>
  <dcterms:modified xsi:type="dcterms:W3CDTF">2019-04-16T01:44:00Z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19.101.429</vt:lpwstr>
  </property>
</Properties>
</file>