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D1435" w:rsidTr="00345119">
        <w:tc>
          <w:tcPr>
            <w:tcW w:w="9576" w:type="dxa"/>
            <w:noWrap/>
          </w:tcPr>
          <w:p w:rsidR="008423E4" w:rsidRPr="0022177D" w:rsidRDefault="0058744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87446" w:rsidP="008423E4">
      <w:pPr>
        <w:jc w:val="center"/>
      </w:pPr>
    </w:p>
    <w:p w:rsidR="008423E4" w:rsidRPr="00B31F0E" w:rsidRDefault="00587446" w:rsidP="008423E4"/>
    <w:p w:rsidR="008423E4" w:rsidRPr="00742794" w:rsidRDefault="0058744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D1435" w:rsidTr="00345119">
        <w:tc>
          <w:tcPr>
            <w:tcW w:w="9576" w:type="dxa"/>
          </w:tcPr>
          <w:p w:rsidR="008423E4" w:rsidRPr="00861995" w:rsidRDefault="00587446" w:rsidP="00345119">
            <w:pPr>
              <w:jc w:val="right"/>
            </w:pPr>
            <w:r>
              <w:t>C.S.H.B. 1459</w:t>
            </w:r>
          </w:p>
        </w:tc>
      </w:tr>
      <w:tr w:rsidR="006D1435" w:rsidTr="00345119">
        <w:tc>
          <w:tcPr>
            <w:tcW w:w="9576" w:type="dxa"/>
          </w:tcPr>
          <w:p w:rsidR="008423E4" w:rsidRPr="00861995" w:rsidRDefault="00587446" w:rsidP="00156D9D">
            <w:pPr>
              <w:jc w:val="right"/>
            </w:pPr>
            <w:r>
              <w:t xml:space="preserve">By: </w:t>
            </w:r>
            <w:r>
              <w:t>González, Jessica</w:t>
            </w:r>
          </w:p>
        </w:tc>
      </w:tr>
      <w:tr w:rsidR="006D1435" w:rsidTr="00345119">
        <w:tc>
          <w:tcPr>
            <w:tcW w:w="9576" w:type="dxa"/>
          </w:tcPr>
          <w:p w:rsidR="008423E4" w:rsidRPr="00861995" w:rsidRDefault="00587446" w:rsidP="00345119">
            <w:pPr>
              <w:jc w:val="right"/>
            </w:pPr>
            <w:r>
              <w:t>Elections</w:t>
            </w:r>
          </w:p>
        </w:tc>
      </w:tr>
      <w:tr w:rsidR="006D1435" w:rsidTr="00345119">
        <w:tc>
          <w:tcPr>
            <w:tcW w:w="9576" w:type="dxa"/>
          </w:tcPr>
          <w:p w:rsidR="008423E4" w:rsidRDefault="00587446" w:rsidP="0041794A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87446" w:rsidP="008423E4">
      <w:pPr>
        <w:tabs>
          <w:tab w:val="right" w:pos="9360"/>
        </w:tabs>
      </w:pPr>
    </w:p>
    <w:p w:rsidR="008423E4" w:rsidRDefault="00587446" w:rsidP="008423E4"/>
    <w:p w:rsidR="008423E4" w:rsidRDefault="0058744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D1435" w:rsidTr="00345119">
        <w:tc>
          <w:tcPr>
            <w:tcW w:w="9576" w:type="dxa"/>
          </w:tcPr>
          <w:p w:rsidR="008423E4" w:rsidRPr="00A8133F" w:rsidRDefault="00587446" w:rsidP="009E2F7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87446" w:rsidP="009E2F7B"/>
          <w:p w:rsidR="008423E4" w:rsidRDefault="00587446" w:rsidP="009E2F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</w:t>
            </w:r>
            <w:r w:rsidRPr="007A7404">
              <w:t xml:space="preserve"> that</w:t>
            </w:r>
            <w:r>
              <w:t xml:space="preserve"> efforts are made to maintain</w:t>
            </w:r>
            <w:r w:rsidRPr="007A7404">
              <w:t xml:space="preserve"> partisan balance at each step of the election process through the appointment of </w:t>
            </w:r>
            <w:r>
              <w:t>p</w:t>
            </w:r>
            <w:r w:rsidRPr="007A7404">
              <w:t xml:space="preserve">residing </w:t>
            </w:r>
            <w:r w:rsidRPr="007A7404">
              <w:t xml:space="preserve">and </w:t>
            </w:r>
            <w:r>
              <w:t>a</w:t>
            </w:r>
            <w:r w:rsidRPr="007A7404">
              <w:t xml:space="preserve">lternate </w:t>
            </w:r>
            <w:r>
              <w:t>j</w:t>
            </w:r>
            <w:r w:rsidRPr="007A7404">
              <w:t>udges</w:t>
            </w:r>
            <w:r w:rsidRPr="007A7404">
              <w:t xml:space="preserve">. </w:t>
            </w:r>
            <w:r>
              <w:t>There are concerns about</w:t>
            </w:r>
            <w:r>
              <w:t xml:space="preserve"> the appointment of</w:t>
            </w:r>
            <w:r>
              <w:t xml:space="preserve"> onl</w:t>
            </w:r>
            <w:r>
              <w:t>y a presiding judge</w:t>
            </w:r>
            <w:r w:rsidRPr="00533C26">
              <w:t xml:space="preserve"> </w:t>
            </w:r>
            <w:r>
              <w:t>for</w:t>
            </w:r>
            <w:r>
              <w:t xml:space="preserve"> e</w:t>
            </w:r>
            <w:r w:rsidRPr="00533C26">
              <w:t xml:space="preserve">arly </w:t>
            </w:r>
            <w:r>
              <w:t>v</w:t>
            </w:r>
            <w:r w:rsidRPr="00533C26">
              <w:t xml:space="preserve">oting </w:t>
            </w:r>
            <w:r>
              <w:t>b</w:t>
            </w:r>
            <w:r w:rsidRPr="00533C26">
              <w:t xml:space="preserve">allot </w:t>
            </w:r>
            <w:r>
              <w:t>b</w:t>
            </w:r>
            <w:r w:rsidRPr="00533C26">
              <w:t>oard</w:t>
            </w:r>
            <w:r>
              <w:t>s</w:t>
            </w:r>
            <w:r w:rsidRPr="00533C26">
              <w:t xml:space="preserve"> and</w:t>
            </w:r>
            <w:r>
              <w:t xml:space="preserve"> a chair for</w:t>
            </w:r>
            <w:r w:rsidRPr="00533C26">
              <w:t xml:space="preserve"> </w:t>
            </w:r>
            <w:r>
              <w:t>s</w:t>
            </w:r>
            <w:r w:rsidRPr="00533C26">
              <w:t xml:space="preserve">ignature </w:t>
            </w:r>
            <w:r>
              <w:t>v</w:t>
            </w:r>
            <w:r w:rsidRPr="00533C26">
              <w:t xml:space="preserve">erification </w:t>
            </w:r>
            <w:r>
              <w:t>c</w:t>
            </w:r>
            <w:r w:rsidRPr="00533C26">
              <w:t>ommi</w:t>
            </w:r>
            <w:r w:rsidRPr="00533C26">
              <w:t>ttees</w:t>
            </w:r>
            <w:r>
              <w:t>.</w:t>
            </w:r>
            <w:r>
              <w:t xml:space="preserve"> Also, </w:t>
            </w:r>
            <w:r>
              <w:t xml:space="preserve">it is reported that </w:t>
            </w:r>
            <w:r>
              <w:t xml:space="preserve">the lack of specific provision for a tie vote </w:t>
            </w:r>
            <w:r>
              <w:t>on that board or committee may lead to confusion.</w:t>
            </w:r>
            <w:r>
              <w:t xml:space="preserve"> </w:t>
            </w:r>
            <w:r>
              <w:t>C.S.</w:t>
            </w:r>
            <w:r w:rsidRPr="00533C26">
              <w:t xml:space="preserve">H.B. 1459 </w:t>
            </w:r>
            <w:r>
              <w:t xml:space="preserve">seeks to address these concerns by providing for the </w:t>
            </w:r>
            <w:r w:rsidRPr="00533C26">
              <w:t>appointment of an alternate judge</w:t>
            </w:r>
            <w:r>
              <w:t xml:space="preserve"> for these boards</w:t>
            </w:r>
            <w:r>
              <w:t xml:space="preserve"> and a vice chair</w:t>
            </w:r>
            <w:r>
              <w:t xml:space="preserve"> for </w:t>
            </w:r>
            <w:r>
              <w:t>these committees</w:t>
            </w:r>
            <w:r>
              <w:t xml:space="preserve"> and by addressing consequences of a tie vote of those bodies</w:t>
            </w:r>
            <w:r w:rsidRPr="00533C26">
              <w:t>.</w:t>
            </w:r>
          </w:p>
          <w:p w:rsidR="008423E4" w:rsidRPr="00E26B13" w:rsidRDefault="00587446" w:rsidP="009E2F7B">
            <w:pPr>
              <w:rPr>
                <w:b/>
              </w:rPr>
            </w:pPr>
          </w:p>
        </w:tc>
      </w:tr>
      <w:tr w:rsidR="006D1435" w:rsidTr="00345119">
        <w:tc>
          <w:tcPr>
            <w:tcW w:w="9576" w:type="dxa"/>
          </w:tcPr>
          <w:p w:rsidR="0017725B" w:rsidRDefault="00587446" w:rsidP="009E2F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87446" w:rsidP="009E2F7B">
            <w:pPr>
              <w:rPr>
                <w:b/>
                <w:u w:val="single"/>
              </w:rPr>
            </w:pPr>
          </w:p>
          <w:p w:rsidR="00C82D14" w:rsidRPr="00C82D14" w:rsidRDefault="00587446" w:rsidP="009E2F7B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587446" w:rsidP="009E2F7B">
            <w:pPr>
              <w:rPr>
                <w:b/>
                <w:u w:val="single"/>
              </w:rPr>
            </w:pPr>
          </w:p>
        </w:tc>
      </w:tr>
      <w:tr w:rsidR="006D1435" w:rsidTr="00345119">
        <w:tc>
          <w:tcPr>
            <w:tcW w:w="9576" w:type="dxa"/>
          </w:tcPr>
          <w:p w:rsidR="008423E4" w:rsidRPr="00A8133F" w:rsidRDefault="00587446" w:rsidP="009E2F7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87446" w:rsidP="009E2F7B"/>
          <w:p w:rsidR="00C82D14" w:rsidRDefault="00587446" w:rsidP="009E2F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:rsidR="008423E4" w:rsidRPr="00E21FDC" w:rsidRDefault="00587446" w:rsidP="009E2F7B">
            <w:pPr>
              <w:rPr>
                <w:b/>
              </w:rPr>
            </w:pPr>
          </w:p>
        </w:tc>
      </w:tr>
      <w:tr w:rsidR="006D1435" w:rsidTr="00345119">
        <w:tc>
          <w:tcPr>
            <w:tcW w:w="9576" w:type="dxa"/>
          </w:tcPr>
          <w:p w:rsidR="008423E4" w:rsidRPr="00A8133F" w:rsidRDefault="00587446" w:rsidP="009E2F7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87446" w:rsidP="009E2F7B"/>
          <w:p w:rsidR="00E145BA" w:rsidRDefault="00587446" w:rsidP="009E2F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1459 amends the Election Code to </w:t>
            </w:r>
            <w:r>
              <w:t>require</w:t>
            </w:r>
            <w:r w:rsidRPr="00A7409F">
              <w:t xml:space="preserve"> the county election board to appoint </w:t>
            </w:r>
            <w:r>
              <w:t>an</w:t>
            </w:r>
            <w:r>
              <w:t xml:space="preserve"> alternate</w:t>
            </w:r>
            <w:r w:rsidRPr="00A7409F">
              <w:t xml:space="preserve"> presiding judge </w:t>
            </w:r>
            <w:r>
              <w:t xml:space="preserve">for the early voting ballot board </w:t>
            </w:r>
            <w:r w:rsidRPr="00A7409F">
              <w:t xml:space="preserve">from the </w:t>
            </w:r>
            <w:r>
              <w:t>req</w:t>
            </w:r>
            <w:r>
              <w:t xml:space="preserve">uired </w:t>
            </w:r>
            <w:r w:rsidRPr="00A7409F">
              <w:t xml:space="preserve">list of persons eligible to serve on </w:t>
            </w:r>
            <w:r>
              <w:t>that</w:t>
            </w:r>
            <w:r w:rsidRPr="00A7409F">
              <w:t xml:space="preserve"> board</w:t>
            </w:r>
            <w:r>
              <w:t xml:space="preserve"> </w:t>
            </w:r>
            <w:r>
              <w:t>provided</w:t>
            </w:r>
            <w:r w:rsidRPr="00A7409F">
              <w:t xml:space="preserve"> by the political party whose nominee for governor received the second most votes in the county in the most recent gubernatorial general election.</w:t>
            </w:r>
            <w:r>
              <w:t xml:space="preserve"> </w:t>
            </w:r>
          </w:p>
          <w:p w:rsidR="00E145BA" w:rsidRDefault="00587446" w:rsidP="009E2F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B4DAD" w:rsidRDefault="00587446" w:rsidP="009E2F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1459 </w:t>
            </w:r>
            <w:r>
              <w:t xml:space="preserve">requires the applicable appointing authority to appoint a vice </w:t>
            </w:r>
            <w:r w:rsidRPr="000130A9">
              <w:t xml:space="preserve">chair of a signature verification committee </w:t>
            </w:r>
            <w:r w:rsidRPr="000130A9">
              <w:t>appointed in any election</w:t>
            </w:r>
            <w:r w:rsidRPr="009B61D5">
              <w:t xml:space="preserve"> </w:t>
            </w:r>
            <w:r>
              <w:t xml:space="preserve">from </w:t>
            </w:r>
            <w:r w:rsidRPr="00C82D14">
              <w:t xml:space="preserve">the list provided by a political party whose nominee for governor received the second most votes in the county in the </w:t>
            </w:r>
            <w:r w:rsidRPr="00C82D14">
              <w:t>most recent gubernatorial general election</w:t>
            </w:r>
            <w:r>
              <w:t xml:space="preserve"> and</w:t>
            </w:r>
            <w:r>
              <w:t xml:space="preserve"> requires an equal number of committee members from each political party that submitted a list</w:t>
            </w:r>
            <w:r>
              <w:t xml:space="preserve"> of names</w:t>
            </w:r>
            <w:r>
              <w:t xml:space="preserve"> to be present to the extent practicable while the committee is reviewing signatures</w:t>
            </w:r>
            <w:r>
              <w:t>.</w:t>
            </w:r>
            <w:r>
              <w:t xml:space="preserve"> </w:t>
            </w:r>
          </w:p>
          <w:p w:rsidR="00DB4DAD" w:rsidRDefault="00587446" w:rsidP="009E2F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D1175" w:rsidRDefault="00587446" w:rsidP="009E2F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1459 autho</w:t>
            </w:r>
            <w:r>
              <w:t xml:space="preserve">rizes </w:t>
            </w:r>
            <w:r w:rsidRPr="004D088B">
              <w:t>the county election board</w:t>
            </w:r>
            <w:r>
              <w:t xml:space="preserve"> and a</w:t>
            </w:r>
            <w:r>
              <w:t>n applicable appointing authority</w:t>
            </w:r>
            <w:r>
              <w:t xml:space="preserve"> </w:t>
            </w:r>
            <w:r w:rsidRPr="004D088B">
              <w:t xml:space="preserve">to make appointments to the </w:t>
            </w:r>
            <w:r>
              <w:t xml:space="preserve">early voting ballot board </w:t>
            </w:r>
            <w:r>
              <w:t>and the</w:t>
            </w:r>
            <w:r>
              <w:t xml:space="preserve"> signature verification </w:t>
            </w:r>
            <w:r>
              <w:t xml:space="preserve">committee, respectively, </w:t>
            </w:r>
            <w:r w:rsidRPr="004D088B">
              <w:t xml:space="preserve">as necessary from any political party if </w:t>
            </w:r>
            <w:r>
              <w:t>a</w:t>
            </w:r>
            <w:r w:rsidRPr="004D088B">
              <w:t xml:space="preserve"> political party does not submit </w:t>
            </w:r>
            <w:r>
              <w:t>the applicable</w:t>
            </w:r>
            <w:r w:rsidRPr="004D088B">
              <w:t xml:space="preserve"> list.</w:t>
            </w:r>
            <w:r>
              <w:t xml:space="preserve"> </w:t>
            </w:r>
          </w:p>
          <w:p w:rsidR="00AD1175" w:rsidRDefault="00587446" w:rsidP="009E2F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587446" w:rsidP="009E2F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1459 decreases the ballot board vote threshold required to override a verification </w:t>
            </w:r>
            <w:r w:rsidRPr="004A4AA0">
              <w:t>committee</w:t>
            </w:r>
            <w:r>
              <w:t>'</w:t>
            </w:r>
            <w:r>
              <w:t>s</w:t>
            </w:r>
            <w:r w:rsidRPr="004A4AA0">
              <w:t xml:space="preserve"> </w:t>
            </w:r>
            <w:r>
              <w:t xml:space="preserve">determination </w:t>
            </w:r>
            <w:r w:rsidRPr="004A4AA0">
              <w:t>that the signatures are not those of the same person</w:t>
            </w:r>
            <w:r>
              <w:t xml:space="preserve"> from a majority vote </w:t>
            </w:r>
            <w:r w:rsidRPr="004A4AA0">
              <w:t>of the board's membership</w:t>
            </w:r>
            <w:r>
              <w:t xml:space="preserve"> to </w:t>
            </w:r>
            <w:r w:rsidRPr="004A4AA0">
              <w:t>at least one</w:t>
            </w:r>
            <w:r w:rsidRPr="004A4AA0">
              <w:t xml:space="preserve">-half of </w:t>
            </w:r>
            <w:r>
              <w:t xml:space="preserve">that </w:t>
            </w:r>
            <w:r w:rsidRPr="004A4AA0">
              <w:t xml:space="preserve">membership. </w:t>
            </w:r>
            <w:r>
              <w:t>The bill</w:t>
            </w:r>
            <w:r>
              <w:t xml:space="preserve"> clarifies that</w:t>
            </w:r>
            <w:r>
              <w:t xml:space="preserve">, if a tie vote of </w:t>
            </w:r>
            <w:r w:rsidRPr="00D63380">
              <w:t xml:space="preserve">the </w:t>
            </w:r>
            <w:r>
              <w:t xml:space="preserve">ballot </w:t>
            </w:r>
            <w:r w:rsidRPr="00D63380">
              <w:t xml:space="preserve">board's </w:t>
            </w:r>
            <w:r>
              <w:t xml:space="preserve">or </w:t>
            </w:r>
            <w:r>
              <w:t>committee's membership occurs</w:t>
            </w:r>
            <w:r>
              <w:t xml:space="preserve">, </w:t>
            </w:r>
            <w:r>
              <w:t xml:space="preserve">the signatures are </w:t>
            </w:r>
            <w:r>
              <w:t>consider</w:t>
            </w:r>
            <w:r>
              <w:t>ed</w:t>
            </w:r>
            <w:r>
              <w:t xml:space="preserve"> to be those of the voter. </w:t>
            </w:r>
          </w:p>
          <w:p w:rsidR="008423E4" w:rsidRPr="00835628" w:rsidRDefault="00587446" w:rsidP="009E2F7B">
            <w:pPr>
              <w:rPr>
                <w:b/>
              </w:rPr>
            </w:pPr>
          </w:p>
        </w:tc>
      </w:tr>
      <w:tr w:rsidR="006D1435" w:rsidTr="00345119">
        <w:tc>
          <w:tcPr>
            <w:tcW w:w="9576" w:type="dxa"/>
          </w:tcPr>
          <w:p w:rsidR="008423E4" w:rsidRPr="00A8133F" w:rsidRDefault="00587446" w:rsidP="009E2F7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87446" w:rsidP="009E2F7B"/>
          <w:p w:rsidR="008423E4" w:rsidRPr="003624F2" w:rsidRDefault="00587446" w:rsidP="009E2F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87446" w:rsidP="009E2F7B">
            <w:pPr>
              <w:rPr>
                <w:b/>
              </w:rPr>
            </w:pPr>
          </w:p>
        </w:tc>
      </w:tr>
      <w:tr w:rsidR="006D1435" w:rsidTr="00345119">
        <w:tc>
          <w:tcPr>
            <w:tcW w:w="9576" w:type="dxa"/>
          </w:tcPr>
          <w:p w:rsidR="00156D9D" w:rsidRDefault="00587446" w:rsidP="009E2F7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C68C3" w:rsidRDefault="00587446" w:rsidP="009E2F7B">
            <w:pPr>
              <w:jc w:val="both"/>
            </w:pPr>
          </w:p>
          <w:p w:rsidR="00AC68C3" w:rsidRDefault="00587446" w:rsidP="009E2F7B">
            <w:pPr>
              <w:jc w:val="both"/>
            </w:pPr>
            <w:r>
              <w:t>While C.S.H.B. 1459 may differ from the original in minor or nonsubstantive ways, the following summarizes the substantial differences between the introduced and committee substitute versions of the bill.</w:t>
            </w:r>
          </w:p>
          <w:p w:rsidR="00AC68C3" w:rsidRDefault="00587446" w:rsidP="009E2F7B">
            <w:pPr>
              <w:jc w:val="both"/>
            </w:pPr>
          </w:p>
          <w:p w:rsidR="00C424AF" w:rsidRDefault="00587446" w:rsidP="009E2F7B">
            <w:pPr>
              <w:spacing w:before="120" w:after="120"/>
              <w:jc w:val="both"/>
            </w:pPr>
            <w:r>
              <w:t xml:space="preserve">The substitute </w:t>
            </w:r>
            <w:r>
              <w:t>includes</w:t>
            </w:r>
            <w:r>
              <w:t xml:space="preserve"> provisions</w:t>
            </w:r>
            <w:r>
              <w:t>:</w:t>
            </w:r>
          </w:p>
          <w:p w:rsidR="00C424AF" w:rsidRDefault="00587446" w:rsidP="009E2F7B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>addressing si</w:t>
            </w:r>
            <w:r>
              <w:t>tuations in which the applicable political party list is not submitted;</w:t>
            </w:r>
          </w:p>
          <w:p w:rsidR="00AD1175" w:rsidRDefault="00587446" w:rsidP="009E2F7B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>requir</w:t>
            </w:r>
            <w:r>
              <w:t>ing</w:t>
            </w:r>
            <w:r>
              <w:t xml:space="preserve"> </w:t>
            </w:r>
            <w:r w:rsidRPr="004120D0">
              <w:t>an equal number of signature verification committee members from each political party that submitted a list of names to be present to the extent practicable while the committ</w:t>
            </w:r>
            <w:r w:rsidRPr="004120D0">
              <w:t>ee is reviewing signatures</w:t>
            </w:r>
            <w:r>
              <w:t xml:space="preserve">; </w:t>
            </w:r>
          </w:p>
          <w:p w:rsidR="004A4AA0" w:rsidRDefault="00587446" w:rsidP="009E2F7B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>d</w:t>
            </w:r>
            <w:r>
              <w:t>ecreasing</w:t>
            </w:r>
            <w:r>
              <w:t xml:space="preserve"> the ballot board vote threshold required to override a verification </w:t>
            </w:r>
            <w:r w:rsidRPr="004A4AA0">
              <w:t>committee</w:t>
            </w:r>
            <w:r>
              <w:t>'</w:t>
            </w:r>
            <w:r>
              <w:t>s</w:t>
            </w:r>
            <w:r w:rsidRPr="004A4AA0">
              <w:t xml:space="preserve"> </w:t>
            </w:r>
            <w:r>
              <w:t xml:space="preserve">determination </w:t>
            </w:r>
            <w:r w:rsidRPr="004A4AA0">
              <w:t>that the signatures are not those of the same person</w:t>
            </w:r>
            <w:r>
              <w:t>;</w:t>
            </w:r>
            <w:r>
              <w:t xml:space="preserve"> and</w:t>
            </w:r>
          </w:p>
          <w:p w:rsidR="00866E9E" w:rsidRDefault="00587446" w:rsidP="009E2F7B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addressing situations in which there is a </w:t>
            </w:r>
            <w:r w:rsidRPr="00BB68A1">
              <w:t xml:space="preserve">tie vote </w:t>
            </w:r>
            <w:r>
              <w:t xml:space="preserve">about the </w:t>
            </w:r>
            <w:r>
              <w:t>veracity of a signature</w:t>
            </w:r>
            <w:r>
              <w:t>.</w:t>
            </w:r>
          </w:p>
          <w:p w:rsidR="00AC68C3" w:rsidRPr="00AC68C3" w:rsidRDefault="00587446" w:rsidP="009E2F7B">
            <w:pPr>
              <w:jc w:val="both"/>
            </w:pPr>
          </w:p>
        </w:tc>
      </w:tr>
      <w:tr w:rsidR="006D1435" w:rsidTr="00345119">
        <w:tc>
          <w:tcPr>
            <w:tcW w:w="9576" w:type="dxa"/>
          </w:tcPr>
          <w:p w:rsidR="00156D9D" w:rsidRPr="009C1E9A" w:rsidRDefault="00587446" w:rsidP="009E2F7B">
            <w:pPr>
              <w:rPr>
                <w:b/>
                <w:u w:val="single"/>
              </w:rPr>
            </w:pPr>
          </w:p>
        </w:tc>
      </w:tr>
      <w:tr w:rsidR="006D1435" w:rsidTr="00345119">
        <w:tc>
          <w:tcPr>
            <w:tcW w:w="9576" w:type="dxa"/>
          </w:tcPr>
          <w:p w:rsidR="00156D9D" w:rsidRPr="00156D9D" w:rsidRDefault="00587446" w:rsidP="009E2F7B">
            <w:pPr>
              <w:jc w:val="both"/>
            </w:pPr>
          </w:p>
        </w:tc>
      </w:tr>
    </w:tbl>
    <w:p w:rsidR="008423E4" w:rsidRPr="00BE0E75" w:rsidRDefault="0058744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8744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7446">
      <w:r>
        <w:separator/>
      </w:r>
    </w:p>
  </w:endnote>
  <w:endnote w:type="continuationSeparator" w:id="0">
    <w:p w:rsidR="00000000" w:rsidRDefault="0058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7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D1435" w:rsidTr="009C1E9A">
      <w:trPr>
        <w:cantSplit/>
      </w:trPr>
      <w:tc>
        <w:tcPr>
          <w:tcW w:w="0" w:type="pct"/>
        </w:tcPr>
        <w:p w:rsidR="00137D90" w:rsidRDefault="0058744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8744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8744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8744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874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1435" w:rsidTr="009C1E9A">
      <w:trPr>
        <w:cantSplit/>
      </w:trPr>
      <w:tc>
        <w:tcPr>
          <w:tcW w:w="0" w:type="pct"/>
        </w:tcPr>
        <w:p w:rsidR="00EC379B" w:rsidRDefault="0058744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8744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26327</w:t>
          </w:r>
        </w:p>
      </w:tc>
      <w:tc>
        <w:tcPr>
          <w:tcW w:w="2453" w:type="pct"/>
        </w:tcPr>
        <w:p w:rsidR="00EC379B" w:rsidRDefault="005874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19.101.331</w:t>
          </w:r>
          <w:r>
            <w:fldChar w:fldCharType="end"/>
          </w:r>
        </w:p>
      </w:tc>
    </w:tr>
    <w:tr w:rsidR="006D1435" w:rsidTr="009C1E9A">
      <w:trPr>
        <w:cantSplit/>
      </w:trPr>
      <w:tc>
        <w:tcPr>
          <w:tcW w:w="0" w:type="pct"/>
        </w:tcPr>
        <w:p w:rsidR="00EC379B" w:rsidRDefault="0058744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8744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19667</w:t>
          </w:r>
        </w:p>
      </w:tc>
      <w:tc>
        <w:tcPr>
          <w:tcW w:w="2453" w:type="pct"/>
        </w:tcPr>
        <w:p w:rsidR="00EC379B" w:rsidRDefault="00587446" w:rsidP="006D504F">
          <w:pPr>
            <w:pStyle w:val="Footer"/>
            <w:rPr>
              <w:rStyle w:val="PageNumber"/>
            </w:rPr>
          </w:pPr>
        </w:p>
        <w:p w:rsidR="00EC379B" w:rsidRDefault="005874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143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8744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8744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8744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7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7446">
      <w:r>
        <w:separator/>
      </w:r>
    </w:p>
  </w:footnote>
  <w:footnote w:type="continuationSeparator" w:id="0">
    <w:p w:rsidR="00000000" w:rsidRDefault="0058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7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74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7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4A45"/>
    <w:multiLevelType w:val="hybridMultilevel"/>
    <w:tmpl w:val="1D4C33BA"/>
    <w:lvl w:ilvl="0" w:tplc="D2941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528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4049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EC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A1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401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2F3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0AC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C2D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566AB"/>
    <w:multiLevelType w:val="hybridMultilevel"/>
    <w:tmpl w:val="E408B9A4"/>
    <w:lvl w:ilvl="0" w:tplc="4AFAB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FA5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AA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23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62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4B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65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E7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0CD1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35"/>
    <w:rsid w:val="00587446"/>
    <w:rsid w:val="006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E3DD74-B967-4481-A06C-953B415E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82D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2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2D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2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2D14"/>
    <w:rPr>
      <w:b/>
      <w:bCs/>
    </w:rPr>
  </w:style>
  <w:style w:type="paragraph" w:styleId="ListParagraph">
    <w:name w:val="List Paragraph"/>
    <w:basedOn w:val="Normal"/>
    <w:uiPriority w:val="34"/>
    <w:qFormat/>
    <w:rsid w:val="00AC68C3"/>
    <w:pPr>
      <w:ind w:left="720"/>
      <w:contextualSpacing/>
    </w:pPr>
  </w:style>
  <w:style w:type="paragraph" w:styleId="Revision">
    <w:name w:val="Revision"/>
    <w:hidden/>
    <w:uiPriority w:val="99"/>
    <w:semiHidden/>
    <w:rsid w:val="00BC67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3132</Characters>
  <Application>Microsoft Office Word</Application>
  <DocSecurity>4</DocSecurity>
  <Lines>79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HB01459 (Committee Report (Substituted))</vt:lpstr>
    </vt:vector>
  </TitlesOfParts>
  <Company>State of Texas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26327</dc:subject>
  <dc:creator>State of Texas</dc:creator>
  <dc:description>HB 1459 by González, Jessica-(H)Elections (Substitute Document Number: 86R 19667)</dc:description>
  <cp:lastModifiedBy>Stacey Nicchio</cp:lastModifiedBy>
  <cp:revision>2</cp:revision>
  <cp:lastPrinted>2003-11-26T17:21:00Z</cp:lastPrinted>
  <dcterms:created xsi:type="dcterms:W3CDTF">2019-04-18T20:41:00Z</dcterms:created>
  <dcterms:modified xsi:type="dcterms:W3CDTF">2019-04-18T20:41:00Z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19.101.331</vt:lpwstr>
  </property>
</Properties>
</file>