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40D64" w:rsidTr="00345119">
        <w:tc>
          <w:tcPr>
            <w:tcW w:w="9576" w:type="dxa"/>
            <w:noWrap/>
          </w:tcPr>
          <w:p w:rsidR="008423E4" w:rsidRPr="0022177D" w:rsidRDefault="00315B3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15B37" w:rsidP="008423E4">
      <w:pPr>
        <w:jc w:val="center"/>
      </w:pPr>
    </w:p>
    <w:p w:rsidR="008423E4" w:rsidRPr="00B31F0E" w:rsidRDefault="00315B37" w:rsidP="008423E4"/>
    <w:p w:rsidR="008423E4" w:rsidRPr="00742794" w:rsidRDefault="00315B3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40D64" w:rsidTr="00345119">
        <w:tc>
          <w:tcPr>
            <w:tcW w:w="9576" w:type="dxa"/>
          </w:tcPr>
          <w:p w:rsidR="008423E4" w:rsidRPr="00861995" w:rsidRDefault="00315B37" w:rsidP="00345119">
            <w:pPr>
              <w:jc w:val="right"/>
            </w:pPr>
            <w:r>
              <w:t>C.S.H.B. 1468</w:t>
            </w:r>
          </w:p>
        </w:tc>
      </w:tr>
      <w:tr w:rsidR="00E40D64" w:rsidTr="00345119">
        <w:tc>
          <w:tcPr>
            <w:tcW w:w="9576" w:type="dxa"/>
          </w:tcPr>
          <w:p w:rsidR="008423E4" w:rsidRPr="00861995" w:rsidRDefault="00315B37" w:rsidP="00ED2D4E">
            <w:pPr>
              <w:jc w:val="right"/>
            </w:pPr>
            <w:r>
              <w:t xml:space="preserve">By: </w:t>
            </w:r>
            <w:r>
              <w:t>Talarico</w:t>
            </w:r>
          </w:p>
        </w:tc>
      </w:tr>
      <w:tr w:rsidR="00E40D64" w:rsidTr="00345119">
        <w:tc>
          <w:tcPr>
            <w:tcW w:w="9576" w:type="dxa"/>
          </w:tcPr>
          <w:p w:rsidR="008423E4" w:rsidRPr="00861995" w:rsidRDefault="00315B37" w:rsidP="00345119">
            <w:pPr>
              <w:jc w:val="right"/>
            </w:pPr>
            <w:r>
              <w:t>Public Education</w:t>
            </w:r>
          </w:p>
        </w:tc>
      </w:tr>
      <w:tr w:rsidR="00E40D64" w:rsidTr="00345119">
        <w:tc>
          <w:tcPr>
            <w:tcW w:w="9576" w:type="dxa"/>
          </w:tcPr>
          <w:p w:rsidR="008423E4" w:rsidRDefault="00315B3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315B37" w:rsidP="008423E4">
      <w:pPr>
        <w:tabs>
          <w:tab w:val="right" w:pos="9360"/>
        </w:tabs>
      </w:pPr>
    </w:p>
    <w:p w:rsidR="008423E4" w:rsidRDefault="00315B37" w:rsidP="008423E4"/>
    <w:p w:rsidR="008423E4" w:rsidRDefault="00315B3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40D64" w:rsidTr="00345119">
        <w:tc>
          <w:tcPr>
            <w:tcW w:w="9576" w:type="dxa"/>
          </w:tcPr>
          <w:p w:rsidR="008423E4" w:rsidRPr="00A8133F" w:rsidRDefault="00315B37" w:rsidP="006E116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15B37" w:rsidP="006E1165"/>
          <w:p w:rsidR="008423E4" w:rsidRDefault="00315B37" w:rsidP="006E1165">
            <w:pPr>
              <w:pStyle w:val="Header"/>
              <w:jc w:val="both"/>
            </w:pPr>
            <w:r>
              <w:t xml:space="preserve">Concerns have been raised over </w:t>
            </w:r>
            <w:r>
              <w:t>the mental health crisis across the nation and in Texas, particularly with regard to adolescents.</w:t>
            </w:r>
            <w:r>
              <w:t xml:space="preserve"> </w:t>
            </w:r>
            <w:r>
              <w:t>It has been suggested that the study and evaluation of</w:t>
            </w:r>
            <w:r>
              <w:t xml:space="preserve"> </w:t>
            </w:r>
            <w:r>
              <w:t>existing programs and measures being used to treat mental health in public schools</w:t>
            </w:r>
            <w:r>
              <w:t xml:space="preserve"> could provide valuable information on the effectiveness of school </w:t>
            </w:r>
            <w:r>
              <w:t xml:space="preserve">mental health </w:t>
            </w:r>
            <w:r>
              <w:t>programs provided to public school stu</w:t>
            </w:r>
            <w:r>
              <w:t>dents</w:t>
            </w:r>
            <w:r>
              <w:t xml:space="preserve">. </w:t>
            </w:r>
            <w:r>
              <w:t>C.S.</w:t>
            </w:r>
            <w:r>
              <w:t xml:space="preserve">H.B. 1468 seeks to </w:t>
            </w:r>
            <w:r>
              <w:t>create the public school mental health</w:t>
            </w:r>
            <w:r>
              <w:t xml:space="preserve"> task force </w:t>
            </w:r>
            <w:r>
              <w:t>for such purposes and to aid in addressing these concerns.</w:t>
            </w:r>
            <w:r>
              <w:t xml:space="preserve">  </w:t>
            </w:r>
          </w:p>
          <w:p w:rsidR="008423E4" w:rsidRPr="00E26B13" w:rsidRDefault="00315B37" w:rsidP="006E1165">
            <w:pPr>
              <w:rPr>
                <w:b/>
              </w:rPr>
            </w:pPr>
          </w:p>
        </w:tc>
      </w:tr>
      <w:tr w:rsidR="00E40D64" w:rsidTr="00345119">
        <w:tc>
          <w:tcPr>
            <w:tcW w:w="9576" w:type="dxa"/>
          </w:tcPr>
          <w:p w:rsidR="0017725B" w:rsidRDefault="00315B37" w:rsidP="006E116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15B37" w:rsidP="006E1165">
            <w:pPr>
              <w:rPr>
                <w:b/>
                <w:u w:val="single"/>
              </w:rPr>
            </w:pPr>
          </w:p>
          <w:p w:rsidR="00671F1E" w:rsidRPr="00671F1E" w:rsidRDefault="00315B37" w:rsidP="006E1165">
            <w:pPr>
              <w:jc w:val="both"/>
            </w:pPr>
            <w:r>
              <w:t>It is the committee's opinion that this bill does not expressly create a criminal offens</w:t>
            </w:r>
            <w:r>
              <w:t>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315B37" w:rsidP="006E1165">
            <w:pPr>
              <w:rPr>
                <w:b/>
                <w:u w:val="single"/>
              </w:rPr>
            </w:pPr>
          </w:p>
        </w:tc>
      </w:tr>
      <w:tr w:rsidR="00E40D64" w:rsidTr="00345119">
        <w:tc>
          <w:tcPr>
            <w:tcW w:w="9576" w:type="dxa"/>
          </w:tcPr>
          <w:p w:rsidR="008423E4" w:rsidRPr="00A8133F" w:rsidRDefault="00315B37" w:rsidP="006E116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15B37" w:rsidP="006E1165"/>
          <w:p w:rsidR="00671F1E" w:rsidRDefault="00315B37" w:rsidP="006E116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</w:t>
            </w:r>
            <w:r>
              <w:t>does not expressly grant any additional rulemaking authority to a state officer, department, agency, or institution.</w:t>
            </w:r>
          </w:p>
          <w:p w:rsidR="008423E4" w:rsidRPr="00E21FDC" w:rsidRDefault="00315B37" w:rsidP="006E1165">
            <w:pPr>
              <w:rPr>
                <w:b/>
              </w:rPr>
            </w:pPr>
          </w:p>
        </w:tc>
      </w:tr>
      <w:tr w:rsidR="00E40D64" w:rsidTr="00345119">
        <w:tc>
          <w:tcPr>
            <w:tcW w:w="9576" w:type="dxa"/>
          </w:tcPr>
          <w:p w:rsidR="008423E4" w:rsidRPr="00A8133F" w:rsidRDefault="00315B37" w:rsidP="006E116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15B37" w:rsidP="006E1165"/>
          <w:p w:rsidR="00E36A9D" w:rsidRDefault="00315B37" w:rsidP="006E116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1468 amends the Education Code to establish the </w:t>
            </w:r>
            <w:r w:rsidRPr="00394C51">
              <w:t>Public School Mental Health task force</w:t>
            </w:r>
            <w:r>
              <w:t xml:space="preserve"> </w:t>
            </w:r>
            <w:r w:rsidRPr="00394C51">
              <w:t>to examine the effectiveness o</w:t>
            </w:r>
            <w:r w:rsidRPr="00394C51">
              <w:t xml:space="preserve">f school </w:t>
            </w:r>
            <w:r>
              <w:t>mental health</w:t>
            </w:r>
            <w:r w:rsidRPr="00394C51">
              <w:t xml:space="preserve"> </w:t>
            </w:r>
            <w:r w:rsidRPr="00394C51">
              <w:t>programs provided for students enrolled in public schools.</w:t>
            </w:r>
            <w:r>
              <w:t xml:space="preserve"> The bill sets out the composition of the </w:t>
            </w:r>
            <w:r>
              <w:t xml:space="preserve">25-member </w:t>
            </w:r>
            <w:r>
              <w:t>task force</w:t>
            </w:r>
            <w:r>
              <w:t xml:space="preserve"> and</w:t>
            </w:r>
            <w:r>
              <w:t xml:space="preserve"> </w:t>
            </w:r>
            <w:r>
              <w:t xml:space="preserve">requires the </w:t>
            </w:r>
            <w:r w:rsidRPr="00394C51">
              <w:t>commissioner of education</w:t>
            </w:r>
            <w:r>
              <w:t xml:space="preserve"> to appoint the members </w:t>
            </w:r>
            <w:r w:rsidRPr="00394C51">
              <w:t>not later than December 31, 2020</w:t>
            </w:r>
            <w:r>
              <w:t>. The bill set</w:t>
            </w:r>
            <w:r>
              <w:t xml:space="preserve">s out provisions relating to the presiding officer, filling a </w:t>
            </w:r>
            <w:r>
              <w:t xml:space="preserve">vacancy </w:t>
            </w:r>
            <w:r>
              <w:t>o</w:t>
            </w:r>
            <w:r>
              <w:t>n the task force</w:t>
            </w:r>
            <w:r>
              <w:t xml:space="preserve">, and task force meetings, </w:t>
            </w:r>
            <w:r w:rsidRPr="00394C51">
              <w:t xml:space="preserve">the </w:t>
            </w:r>
            <w:r>
              <w:t xml:space="preserve">first of which must be called </w:t>
            </w:r>
            <w:r w:rsidRPr="00394C51">
              <w:t>on or before January 31, 2021.</w:t>
            </w:r>
            <w:r>
              <w:t xml:space="preserve"> </w:t>
            </w:r>
            <w:r>
              <w:t xml:space="preserve">The bill requires the task force to </w:t>
            </w:r>
            <w:r>
              <w:t>take the following actions:</w:t>
            </w:r>
          </w:p>
          <w:p w:rsidR="00E36A9D" w:rsidRDefault="00315B37" w:rsidP="006E116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examine </w:t>
            </w:r>
            <w:r>
              <w:t>the t</w:t>
            </w:r>
            <w:r>
              <w:t>ypes of mental health services that public schools provide</w:t>
            </w:r>
            <w:r>
              <w:t>;</w:t>
            </w:r>
          </w:p>
          <w:p w:rsidR="00896395" w:rsidRDefault="00315B37" w:rsidP="006E116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examine existing measures used by schools that positively affect student mental health;</w:t>
            </w:r>
          </w:p>
          <w:p w:rsidR="00E36A9D" w:rsidRDefault="00315B37" w:rsidP="006E116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determine which school </w:t>
            </w:r>
            <w:r>
              <w:t xml:space="preserve">mental health </w:t>
            </w:r>
            <w:r>
              <w:t>programs achieve the best performance</w:t>
            </w:r>
            <w:r>
              <w:t>, considering the cost of the prog</w:t>
            </w:r>
            <w:r>
              <w:t>ram, the number of students served, and the effectiveness of the program</w:t>
            </w:r>
            <w:r>
              <w:t>;</w:t>
            </w:r>
          </w:p>
          <w:p w:rsidR="00E36A9D" w:rsidRDefault="00315B37" w:rsidP="006E116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determine</w:t>
            </w:r>
            <w:r>
              <w:t xml:space="preserve"> which </w:t>
            </w:r>
            <w:r>
              <w:t xml:space="preserve">school </w:t>
            </w:r>
            <w:r>
              <w:t xml:space="preserve">mental health </w:t>
            </w:r>
            <w:r>
              <w:t xml:space="preserve">programs </w:t>
            </w:r>
            <w:r>
              <w:t>schools prefer to use</w:t>
            </w:r>
            <w:r>
              <w:t xml:space="preserve">; </w:t>
            </w:r>
            <w:r>
              <w:t xml:space="preserve">and </w:t>
            </w:r>
          </w:p>
          <w:p w:rsidR="00E36A9D" w:rsidRDefault="00315B37" w:rsidP="006E116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conduct a statistical analysis</w:t>
            </w:r>
            <w:r>
              <w:t xml:space="preserve">, incorporating information on student demographics, including student family </w:t>
            </w:r>
            <w:r>
              <w:t>average income,</w:t>
            </w:r>
            <w:r>
              <w:t xml:space="preserve"> to determine the effectiveness of school </w:t>
            </w:r>
            <w:r>
              <w:t xml:space="preserve">mental health </w:t>
            </w:r>
            <w:r>
              <w:t>programs and the impact on student achievement and performance.</w:t>
            </w:r>
            <w:r>
              <w:t xml:space="preserve"> </w:t>
            </w:r>
          </w:p>
          <w:p w:rsidR="00D64D78" w:rsidRDefault="00315B37" w:rsidP="006E116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F0C79" w:rsidRDefault="00315B37" w:rsidP="006E116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1468 </w:t>
            </w:r>
            <w:r>
              <w:t xml:space="preserve">requires the task force to </w:t>
            </w:r>
            <w:r w:rsidRPr="00671F1E">
              <w:t xml:space="preserve">deliver a report to the commissioner detailing the task force's findings and </w:t>
            </w:r>
            <w:r w:rsidRPr="00671F1E">
              <w:t>recommendations and the results of the statistical analysis</w:t>
            </w:r>
            <w:r>
              <w:t xml:space="preserve"> not </w:t>
            </w:r>
            <w:r w:rsidRPr="00671F1E">
              <w:t>later than August 31, 2022</w:t>
            </w:r>
            <w:r w:rsidRPr="00671F1E">
              <w:t>.</w:t>
            </w:r>
            <w:r>
              <w:t xml:space="preserve"> The bill exempts the task force from state law relating to </w:t>
            </w:r>
            <w:r w:rsidRPr="002F0C79">
              <w:t>state agency advisory committees</w:t>
            </w:r>
            <w:r>
              <w:t>.</w:t>
            </w:r>
            <w:r>
              <w:t xml:space="preserve"> The bill's provisions expire and the task force is abolished on Decembe</w:t>
            </w:r>
            <w:r>
              <w:t>r 1, 2022.</w:t>
            </w:r>
          </w:p>
          <w:p w:rsidR="008423E4" w:rsidRPr="00835628" w:rsidRDefault="00315B37" w:rsidP="006E1165">
            <w:pPr>
              <w:rPr>
                <w:b/>
              </w:rPr>
            </w:pPr>
          </w:p>
        </w:tc>
      </w:tr>
      <w:tr w:rsidR="00E40D64" w:rsidTr="00345119">
        <w:tc>
          <w:tcPr>
            <w:tcW w:w="9576" w:type="dxa"/>
          </w:tcPr>
          <w:p w:rsidR="008423E4" w:rsidRPr="00A8133F" w:rsidRDefault="00315B37" w:rsidP="006E116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15B37" w:rsidP="006E1165"/>
          <w:p w:rsidR="008423E4" w:rsidRPr="003624F2" w:rsidRDefault="00315B37" w:rsidP="006E116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315B37" w:rsidP="006E1165">
            <w:pPr>
              <w:rPr>
                <w:b/>
              </w:rPr>
            </w:pPr>
          </w:p>
        </w:tc>
      </w:tr>
      <w:tr w:rsidR="00E40D64" w:rsidTr="00345119">
        <w:tc>
          <w:tcPr>
            <w:tcW w:w="9576" w:type="dxa"/>
          </w:tcPr>
          <w:p w:rsidR="00ED2D4E" w:rsidRDefault="00315B37" w:rsidP="006E116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ED09B5" w:rsidRDefault="00315B37" w:rsidP="006E1165">
            <w:pPr>
              <w:jc w:val="both"/>
            </w:pPr>
          </w:p>
          <w:p w:rsidR="00ED09B5" w:rsidRDefault="00315B37" w:rsidP="006E1165">
            <w:pPr>
              <w:jc w:val="both"/>
            </w:pPr>
            <w:r>
              <w:t xml:space="preserve">While C.S.H.B. 1468 may differ from the original in minor or nonsubstantive ways, the following summarizes the substantial differences between the introduced and </w:t>
            </w:r>
            <w:r>
              <w:t>committee substitute versions of the bill.</w:t>
            </w:r>
          </w:p>
          <w:p w:rsidR="00ED09B5" w:rsidRDefault="00315B37" w:rsidP="006E1165">
            <w:pPr>
              <w:jc w:val="both"/>
            </w:pPr>
          </w:p>
          <w:p w:rsidR="00DE7948" w:rsidRDefault="00315B37" w:rsidP="006E1165">
            <w:pPr>
              <w:jc w:val="both"/>
            </w:pPr>
            <w:r>
              <w:t xml:space="preserve">The substitute </w:t>
            </w:r>
            <w:r>
              <w:t>changes the scope of the task force's purpose and duties</w:t>
            </w:r>
            <w:r>
              <w:t xml:space="preserve"> </w:t>
            </w:r>
            <w:r>
              <w:t>from examining the effectiveness of public school counseling programs</w:t>
            </w:r>
            <w:r>
              <w:t xml:space="preserve"> to </w:t>
            </w:r>
            <w:r>
              <w:t xml:space="preserve">examining the effectiveness of </w:t>
            </w:r>
            <w:r>
              <w:t>public school</w:t>
            </w:r>
            <w:r>
              <w:t xml:space="preserve"> mental health </w:t>
            </w:r>
            <w:r>
              <w:t>programs</w:t>
            </w:r>
            <w:r>
              <w:t xml:space="preserve">. </w:t>
            </w:r>
          </w:p>
          <w:p w:rsidR="00E6230C" w:rsidRDefault="00315B37" w:rsidP="006E1165">
            <w:pPr>
              <w:jc w:val="both"/>
            </w:pPr>
          </w:p>
          <w:p w:rsidR="001C67D4" w:rsidRDefault="00315B37" w:rsidP="006E1165">
            <w:pPr>
              <w:jc w:val="both"/>
            </w:pPr>
            <w:r>
              <w:t>The substitute revises the</w:t>
            </w:r>
            <w:r>
              <w:t xml:space="preserve"> task force's</w:t>
            </w:r>
            <w:r>
              <w:t xml:space="preserve"> composition by: </w:t>
            </w:r>
          </w:p>
          <w:p w:rsidR="00B71760" w:rsidRDefault="00315B37" w:rsidP="006E1165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>
              <w:t>including five certified school counselors</w:t>
            </w:r>
            <w:r>
              <w:t xml:space="preserve"> among the membership, but not including such a counselor in the definition of "public school mental health professional</w:t>
            </w:r>
            <w:r>
              <w:t>;</w:t>
            </w:r>
            <w:r>
              <w:t>"</w:t>
            </w:r>
          </w:p>
          <w:p w:rsidR="00B71760" w:rsidRDefault="00315B37" w:rsidP="006E1165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including one director of a </w:t>
            </w:r>
            <w:r>
              <w:t>public school counseling</w:t>
            </w:r>
            <w:r>
              <w:t xml:space="preserve"> program among the membership</w:t>
            </w:r>
            <w:r>
              <w:t>; and</w:t>
            </w:r>
          </w:p>
          <w:p w:rsidR="00DE7948" w:rsidRDefault="00315B37" w:rsidP="006E1165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>
              <w:t>decreasing from 10 to four the number of public school mental health professional</w:t>
            </w:r>
            <w:r>
              <w:t>s</w:t>
            </w:r>
            <w:r>
              <w:t xml:space="preserve"> among the membership</w:t>
            </w:r>
            <w:r>
              <w:t xml:space="preserve">. </w:t>
            </w:r>
          </w:p>
          <w:p w:rsidR="00ED09B5" w:rsidRPr="00ED09B5" w:rsidRDefault="00315B37" w:rsidP="006E1165">
            <w:pPr>
              <w:jc w:val="both"/>
            </w:pPr>
          </w:p>
        </w:tc>
      </w:tr>
      <w:tr w:rsidR="00E40D64" w:rsidTr="00345119">
        <w:tc>
          <w:tcPr>
            <w:tcW w:w="9576" w:type="dxa"/>
          </w:tcPr>
          <w:p w:rsidR="00ED2D4E" w:rsidRPr="009C1E9A" w:rsidRDefault="00315B37" w:rsidP="006E1165">
            <w:pPr>
              <w:rPr>
                <w:b/>
                <w:u w:val="single"/>
              </w:rPr>
            </w:pPr>
          </w:p>
        </w:tc>
      </w:tr>
      <w:tr w:rsidR="00E40D64" w:rsidTr="00345119">
        <w:tc>
          <w:tcPr>
            <w:tcW w:w="9576" w:type="dxa"/>
          </w:tcPr>
          <w:p w:rsidR="00ED2D4E" w:rsidRPr="00ED2D4E" w:rsidRDefault="00315B37" w:rsidP="006E1165">
            <w:pPr>
              <w:jc w:val="both"/>
            </w:pPr>
          </w:p>
        </w:tc>
      </w:tr>
    </w:tbl>
    <w:p w:rsidR="008423E4" w:rsidRPr="00BE0E75" w:rsidRDefault="00315B3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15B37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15B37">
      <w:r>
        <w:separator/>
      </w:r>
    </w:p>
  </w:endnote>
  <w:endnote w:type="continuationSeparator" w:id="0">
    <w:p w:rsidR="00000000" w:rsidRDefault="0031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784" w:rsidRDefault="00315B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40D64" w:rsidTr="009C1E9A">
      <w:trPr>
        <w:cantSplit/>
      </w:trPr>
      <w:tc>
        <w:tcPr>
          <w:tcW w:w="0" w:type="pct"/>
        </w:tcPr>
        <w:p w:rsidR="00137D90" w:rsidRDefault="00315B3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15B3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15B3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15B3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15B3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40D64" w:rsidTr="009C1E9A">
      <w:trPr>
        <w:cantSplit/>
      </w:trPr>
      <w:tc>
        <w:tcPr>
          <w:tcW w:w="0" w:type="pct"/>
        </w:tcPr>
        <w:p w:rsidR="00EC379B" w:rsidRDefault="00315B3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15B3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</w:t>
          </w:r>
          <w:r>
            <w:rPr>
              <w:rFonts w:ascii="Shruti" w:hAnsi="Shruti"/>
              <w:sz w:val="22"/>
            </w:rPr>
            <w:t xml:space="preserve"> 28623</w:t>
          </w:r>
        </w:p>
      </w:tc>
      <w:tc>
        <w:tcPr>
          <w:tcW w:w="2453" w:type="pct"/>
        </w:tcPr>
        <w:p w:rsidR="00EC379B" w:rsidRDefault="00315B3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19.108.1778</w:t>
          </w:r>
          <w:r>
            <w:fldChar w:fldCharType="end"/>
          </w:r>
        </w:p>
      </w:tc>
    </w:tr>
    <w:tr w:rsidR="00E40D64" w:rsidTr="009C1E9A">
      <w:trPr>
        <w:cantSplit/>
      </w:trPr>
      <w:tc>
        <w:tcPr>
          <w:tcW w:w="0" w:type="pct"/>
        </w:tcPr>
        <w:p w:rsidR="00EC379B" w:rsidRDefault="00315B3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15B3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23971</w:t>
          </w:r>
        </w:p>
      </w:tc>
      <w:tc>
        <w:tcPr>
          <w:tcW w:w="2453" w:type="pct"/>
        </w:tcPr>
        <w:p w:rsidR="00EC379B" w:rsidRDefault="00315B37" w:rsidP="006D504F">
          <w:pPr>
            <w:pStyle w:val="Footer"/>
            <w:rPr>
              <w:rStyle w:val="PageNumber"/>
            </w:rPr>
          </w:pPr>
        </w:p>
        <w:p w:rsidR="00EC379B" w:rsidRDefault="00315B3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40D6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15B3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315B3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15B3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784" w:rsidRDefault="00315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15B37">
      <w:r>
        <w:separator/>
      </w:r>
    </w:p>
  </w:footnote>
  <w:footnote w:type="continuationSeparator" w:id="0">
    <w:p w:rsidR="00000000" w:rsidRDefault="00315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784" w:rsidRDefault="00315B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784" w:rsidRDefault="00315B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784" w:rsidRDefault="00315B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1D05"/>
    <w:multiLevelType w:val="hybridMultilevel"/>
    <w:tmpl w:val="EFF6505C"/>
    <w:lvl w:ilvl="0" w:tplc="5D5AC4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B85F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626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C64D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A27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9A24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D21D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C6DB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C852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317C0"/>
    <w:multiLevelType w:val="hybridMultilevel"/>
    <w:tmpl w:val="9B023388"/>
    <w:lvl w:ilvl="0" w:tplc="7E560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A2C4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E656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9E27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6691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DA9D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4C5D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A05E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785A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64"/>
    <w:rsid w:val="00315B37"/>
    <w:rsid w:val="00E4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842840-C9C1-485F-90F6-D35811EC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71F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1F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1F1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1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1F1E"/>
    <w:rPr>
      <w:b/>
      <w:bCs/>
    </w:rPr>
  </w:style>
  <w:style w:type="paragraph" w:customStyle="1" w:styleId="center">
    <w:name w:val="center"/>
    <w:basedOn w:val="Normal"/>
    <w:rsid w:val="009717A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71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3151</Characters>
  <Application>Microsoft Office Word</Application>
  <DocSecurity>4</DocSecurity>
  <Lines>80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HB01468 (Committee Report (Substituted))</vt:lpstr>
    </vt:vector>
  </TitlesOfParts>
  <Company>State of Texas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28623</dc:subject>
  <dc:creator>State of Texas</dc:creator>
  <dc:description>HB 1468 by Talarico-(H)Public Education (Substitute Document Number: 86R 23971)</dc:description>
  <cp:lastModifiedBy>Stacey Nicchio</cp:lastModifiedBy>
  <cp:revision>2</cp:revision>
  <cp:lastPrinted>2019-02-13T16:00:00Z</cp:lastPrinted>
  <dcterms:created xsi:type="dcterms:W3CDTF">2019-04-27T01:32:00Z</dcterms:created>
  <dcterms:modified xsi:type="dcterms:W3CDTF">2019-04-27T01:32:00Z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19.108.1778</vt:lpwstr>
  </property>
</Properties>
</file>