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4F6E" w:rsidTr="00345119">
        <w:tc>
          <w:tcPr>
            <w:tcW w:w="9576" w:type="dxa"/>
            <w:noWrap/>
          </w:tcPr>
          <w:p w:rsidR="008423E4" w:rsidRPr="0022177D" w:rsidRDefault="004D035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D0359" w:rsidP="008423E4">
      <w:pPr>
        <w:jc w:val="center"/>
      </w:pPr>
    </w:p>
    <w:p w:rsidR="008423E4" w:rsidRPr="00B31F0E" w:rsidRDefault="004D0359" w:rsidP="008423E4"/>
    <w:p w:rsidR="008423E4" w:rsidRPr="00742794" w:rsidRDefault="004D035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4F6E" w:rsidTr="00345119">
        <w:tc>
          <w:tcPr>
            <w:tcW w:w="9576" w:type="dxa"/>
          </w:tcPr>
          <w:p w:rsidR="008423E4" w:rsidRPr="00861995" w:rsidRDefault="004D0359" w:rsidP="00345119">
            <w:pPr>
              <w:jc w:val="right"/>
            </w:pPr>
            <w:r>
              <w:t>C.S.H.B. 1494</w:t>
            </w:r>
          </w:p>
        </w:tc>
      </w:tr>
      <w:tr w:rsidR="00F24F6E" w:rsidTr="00345119">
        <w:tc>
          <w:tcPr>
            <w:tcW w:w="9576" w:type="dxa"/>
          </w:tcPr>
          <w:p w:rsidR="008423E4" w:rsidRPr="00861995" w:rsidRDefault="004D0359" w:rsidP="00A97534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F24F6E" w:rsidTr="00345119">
        <w:tc>
          <w:tcPr>
            <w:tcW w:w="9576" w:type="dxa"/>
          </w:tcPr>
          <w:p w:rsidR="008423E4" w:rsidRPr="00861995" w:rsidRDefault="004D0359" w:rsidP="00345119">
            <w:pPr>
              <w:jc w:val="right"/>
            </w:pPr>
            <w:r>
              <w:t>Judiciary &amp; Civil Jurisprudence</w:t>
            </w:r>
          </w:p>
        </w:tc>
      </w:tr>
      <w:tr w:rsidR="00F24F6E" w:rsidTr="00345119">
        <w:tc>
          <w:tcPr>
            <w:tcW w:w="9576" w:type="dxa"/>
          </w:tcPr>
          <w:p w:rsidR="008423E4" w:rsidRDefault="004D035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D0359" w:rsidP="008423E4">
      <w:pPr>
        <w:tabs>
          <w:tab w:val="right" w:pos="9360"/>
        </w:tabs>
      </w:pPr>
    </w:p>
    <w:p w:rsidR="008423E4" w:rsidRDefault="004D0359" w:rsidP="008423E4"/>
    <w:p w:rsidR="008423E4" w:rsidRDefault="004D035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24F6E" w:rsidTr="00345119">
        <w:tc>
          <w:tcPr>
            <w:tcW w:w="9576" w:type="dxa"/>
          </w:tcPr>
          <w:p w:rsidR="008423E4" w:rsidRPr="00A8133F" w:rsidRDefault="004D0359" w:rsidP="00C62DB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D0359" w:rsidP="00C62DB6"/>
          <w:p w:rsidR="008423E4" w:rsidRDefault="004D0359" w:rsidP="00C62D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current requirements </w:t>
            </w:r>
            <w:r>
              <w:t xml:space="preserve">relating to the issuance of bonds for deputy clerks and other </w:t>
            </w:r>
            <w:r>
              <w:t>employees of a district or county</w:t>
            </w:r>
            <w:r>
              <w:t xml:space="preserve"> </w:t>
            </w:r>
            <w:r>
              <w:t xml:space="preserve">clerk </w:t>
            </w:r>
            <w:r>
              <w:t>are confusing and inconsistent</w:t>
            </w:r>
            <w:r>
              <w:t xml:space="preserve">. </w:t>
            </w:r>
            <w:r>
              <w:t>C.S.</w:t>
            </w:r>
            <w:r>
              <w:t xml:space="preserve">H.B. 1494 seeks to </w:t>
            </w:r>
            <w:r>
              <w:t>remedy this issue</w:t>
            </w:r>
            <w:r>
              <w:t xml:space="preserve"> by </w:t>
            </w:r>
            <w:r>
              <w:t xml:space="preserve">making the requirements for district clerk and county clerk employees more consistent </w:t>
            </w:r>
            <w:r>
              <w:t xml:space="preserve">and simplifying </w:t>
            </w:r>
            <w:r>
              <w:t>requirements that apply to a</w:t>
            </w:r>
            <w:r>
              <w:t xml:space="preserve"> blanket s</w:t>
            </w:r>
            <w:r>
              <w:t>urety bond or schedule surety bond that covers all of a clerk's employees.</w:t>
            </w:r>
            <w:r>
              <w:t xml:space="preserve"> </w:t>
            </w:r>
          </w:p>
          <w:p w:rsidR="008423E4" w:rsidRPr="00E26B13" w:rsidRDefault="004D0359" w:rsidP="00C62DB6">
            <w:pPr>
              <w:rPr>
                <w:b/>
              </w:rPr>
            </w:pPr>
          </w:p>
        </w:tc>
      </w:tr>
      <w:tr w:rsidR="00F24F6E" w:rsidTr="00345119">
        <w:tc>
          <w:tcPr>
            <w:tcW w:w="9576" w:type="dxa"/>
          </w:tcPr>
          <w:p w:rsidR="0017725B" w:rsidRDefault="004D0359" w:rsidP="00C62DB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D0359" w:rsidP="00C62DB6">
            <w:pPr>
              <w:rPr>
                <w:b/>
                <w:u w:val="single"/>
              </w:rPr>
            </w:pPr>
          </w:p>
          <w:p w:rsidR="008E197B" w:rsidRPr="008E197B" w:rsidRDefault="004D0359" w:rsidP="00C62DB6">
            <w:pPr>
              <w:jc w:val="both"/>
            </w:pPr>
            <w:r>
              <w:t>It is the committee's opinion that this bill does not expressly create a criminal offense, increase the punishment for an existing criminal offense or ca</w:t>
            </w:r>
            <w:r>
              <w:t>tegory of offenses, or change the eligibility of a person for community supervision, parole, or mandatory supervision.</w:t>
            </w:r>
          </w:p>
          <w:p w:rsidR="0017725B" w:rsidRPr="0017725B" w:rsidRDefault="004D0359" w:rsidP="00C62DB6">
            <w:pPr>
              <w:rPr>
                <w:b/>
                <w:u w:val="single"/>
              </w:rPr>
            </w:pPr>
          </w:p>
        </w:tc>
      </w:tr>
      <w:tr w:rsidR="00F24F6E" w:rsidTr="00345119">
        <w:tc>
          <w:tcPr>
            <w:tcW w:w="9576" w:type="dxa"/>
          </w:tcPr>
          <w:p w:rsidR="008423E4" w:rsidRPr="00A8133F" w:rsidRDefault="004D0359" w:rsidP="00C62DB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D0359" w:rsidP="00C62DB6"/>
          <w:p w:rsidR="008E197B" w:rsidRDefault="004D0359" w:rsidP="00C62D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E21FDC" w:rsidRDefault="004D0359" w:rsidP="00C62DB6">
            <w:pPr>
              <w:rPr>
                <w:b/>
              </w:rPr>
            </w:pPr>
          </w:p>
        </w:tc>
      </w:tr>
      <w:tr w:rsidR="00F24F6E" w:rsidTr="00345119">
        <w:tc>
          <w:tcPr>
            <w:tcW w:w="9576" w:type="dxa"/>
          </w:tcPr>
          <w:p w:rsidR="008423E4" w:rsidRPr="00A8133F" w:rsidRDefault="004D0359" w:rsidP="00C62DB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D0359" w:rsidP="00C62DB6"/>
          <w:p w:rsidR="00D32C60" w:rsidRDefault="004D0359" w:rsidP="00C62D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1494 amends the Government Code</w:t>
            </w:r>
            <w:r>
              <w:t xml:space="preserve"> </w:t>
            </w:r>
            <w:r>
              <w:t xml:space="preserve">to </w:t>
            </w:r>
            <w:r>
              <w:t xml:space="preserve">replace the existing surety bond requirements for deputy clerks and other employees of a district clerk with a requirement for a district clerk to obtain </w:t>
            </w:r>
            <w:r>
              <w:t>one or more</w:t>
            </w:r>
            <w:r>
              <w:t xml:space="preserve"> surety bond</w:t>
            </w:r>
            <w:r>
              <w:t>s</w:t>
            </w:r>
            <w:r>
              <w:t xml:space="preserve"> to cover each deputy clerk or other</w:t>
            </w:r>
            <w:r>
              <w:t xml:space="preserve"> </w:t>
            </w:r>
            <w:r>
              <w:t>employee</w:t>
            </w:r>
            <w:r>
              <w:t xml:space="preserve"> by one of the following means:</w:t>
            </w:r>
          </w:p>
          <w:p w:rsidR="00D32C60" w:rsidRDefault="004D0359" w:rsidP="00C62D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a</w:t>
            </w:r>
            <w:r>
              <w:t>n individual bond for each deputy clerk and other employee in an amount for each bond that is equal to the district clerk's bond</w:t>
            </w:r>
            <w:r>
              <w:t>;</w:t>
            </w:r>
            <w:r>
              <w:t xml:space="preserve"> or </w:t>
            </w:r>
          </w:p>
          <w:p w:rsidR="0049412F" w:rsidRDefault="004D0359" w:rsidP="00C62DB6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>a</w:t>
            </w:r>
            <w:r>
              <w:t xml:space="preserve"> schedule surety bond or blanket surety bond to cover</w:t>
            </w:r>
            <w:r>
              <w:t xml:space="preserve"> </w:t>
            </w:r>
            <w:r>
              <w:t>all deputy clerks and all other employees in a total amount that is</w:t>
            </w:r>
            <w:r>
              <w:t xml:space="preserve"> equal to the district clerk's bond</w:t>
            </w:r>
            <w:r>
              <w:t xml:space="preserve">. </w:t>
            </w:r>
          </w:p>
          <w:p w:rsidR="008E197B" w:rsidRDefault="004D0359" w:rsidP="00C62D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E197B" w:rsidRDefault="004D0359" w:rsidP="00C62D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1494 amends the Local Government Code to</w:t>
            </w:r>
            <w:r>
              <w:t xml:space="preserve"> replace the existing surety bond requirements for deputy clerks and other employees of a county clerk with a requirement for a </w:t>
            </w:r>
            <w:r>
              <w:t xml:space="preserve">county </w:t>
            </w:r>
            <w:r>
              <w:t xml:space="preserve">clerk to </w:t>
            </w:r>
            <w:r>
              <w:t xml:space="preserve">execute </w:t>
            </w:r>
            <w:r>
              <w:t>one or more</w:t>
            </w:r>
            <w:r>
              <w:t xml:space="preserve"> sure</w:t>
            </w:r>
            <w:r>
              <w:t>ty bond</w:t>
            </w:r>
            <w:r>
              <w:t>s</w:t>
            </w:r>
            <w:r>
              <w:t xml:space="preserve"> to cover each deputy clerk or other employee </w:t>
            </w:r>
            <w:r>
              <w:t>by</w:t>
            </w:r>
            <w:r>
              <w:t xml:space="preserve"> </w:t>
            </w:r>
            <w:r>
              <w:t>execut</w:t>
            </w:r>
            <w:r>
              <w:t>ing</w:t>
            </w:r>
            <w:r>
              <w:t xml:space="preserve"> </w:t>
            </w:r>
            <w:r>
              <w:t>individual bond</w:t>
            </w:r>
            <w:r>
              <w:t xml:space="preserve">s or a schedule surety bond or blanket surety bond </w:t>
            </w:r>
            <w:r>
              <w:t>that meet</w:t>
            </w:r>
            <w:r>
              <w:t>s</w:t>
            </w:r>
            <w:r>
              <w:t xml:space="preserve"> the same requirements applicable to the surety bonds obtained by a district clerk for the clerk's employees.  </w:t>
            </w:r>
          </w:p>
          <w:p w:rsidR="008423E4" w:rsidRPr="00835628" w:rsidRDefault="004D0359" w:rsidP="00C62DB6">
            <w:pPr>
              <w:rPr>
                <w:b/>
              </w:rPr>
            </w:pPr>
          </w:p>
        </w:tc>
      </w:tr>
      <w:tr w:rsidR="00F24F6E" w:rsidTr="00345119">
        <w:tc>
          <w:tcPr>
            <w:tcW w:w="9576" w:type="dxa"/>
          </w:tcPr>
          <w:p w:rsidR="008423E4" w:rsidRPr="00A8133F" w:rsidRDefault="004D0359" w:rsidP="00C62DB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D0359" w:rsidP="00C62DB6"/>
          <w:p w:rsidR="008423E4" w:rsidRPr="003624F2" w:rsidRDefault="004D0359" w:rsidP="00C62DB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4D0359" w:rsidP="00C62DB6">
            <w:pPr>
              <w:rPr>
                <w:b/>
              </w:rPr>
            </w:pPr>
          </w:p>
        </w:tc>
      </w:tr>
      <w:tr w:rsidR="00F24F6E" w:rsidTr="00345119">
        <w:tc>
          <w:tcPr>
            <w:tcW w:w="9576" w:type="dxa"/>
          </w:tcPr>
          <w:p w:rsidR="00A97534" w:rsidRDefault="004D0359" w:rsidP="00C62DB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F70D4" w:rsidRDefault="004D0359" w:rsidP="00C62DB6">
            <w:pPr>
              <w:jc w:val="both"/>
            </w:pPr>
          </w:p>
          <w:p w:rsidR="000F70D4" w:rsidRPr="000F70D4" w:rsidRDefault="004D0359" w:rsidP="00C62DB6">
            <w:pPr>
              <w:jc w:val="both"/>
            </w:pPr>
            <w:r>
              <w:t xml:space="preserve">C.S.H.B. 1494 </w:t>
            </w:r>
            <w:r>
              <w:t xml:space="preserve">makes certain </w:t>
            </w:r>
            <w:r>
              <w:t xml:space="preserve">minor and nonsubstantive </w:t>
            </w:r>
            <w:r>
              <w:t>revisions to</w:t>
            </w:r>
            <w:r>
              <w:t xml:space="preserve"> clarify the bond options</w:t>
            </w:r>
            <w:r>
              <w:t>.</w:t>
            </w:r>
          </w:p>
        </w:tc>
      </w:tr>
    </w:tbl>
    <w:p w:rsidR="004108C3" w:rsidRPr="00C62DB6" w:rsidRDefault="004D0359" w:rsidP="008423E4">
      <w:pPr>
        <w:rPr>
          <w:sz w:val="4"/>
          <w:szCs w:val="4"/>
        </w:rPr>
      </w:pPr>
    </w:p>
    <w:sectPr w:rsidR="004108C3" w:rsidRPr="00C62DB6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0359">
      <w:r>
        <w:separator/>
      </w:r>
    </w:p>
  </w:endnote>
  <w:endnote w:type="continuationSeparator" w:id="0">
    <w:p w:rsidR="00000000" w:rsidRDefault="004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0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4F6E" w:rsidTr="009C1E9A">
      <w:trPr>
        <w:cantSplit/>
      </w:trPr>
      <w:tc>
        <w:tcPr>
          <w:tcW w:w="0" w:type="pct"/>
        </w:tcPr>
        <w:p w:rsidR="00137D90" w:rsidRDefault="004D03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D03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D03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D03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D03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4F6E" w:rsidTr="009C1E9A">
      <w:trPr>
        <w:cantSplit/>
      </w:trPr>
      <w:tc>
        <w:tcPr>
          <w:tcW w:w="0" w:type="pct"/>
        </w:tcPr>
        <w:p w:rsidR="00EC379B" w:rsidRDefault="004D03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D03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24367</w:t>
          </w:r>
        </w:p>
      </w:tc>
      <w:tc>
        <w:tcPr>
          <w:tcW w:w="2453" w:type="pct"/>
        </w:tcPr>
        <w:p w:rsidR="00EC379B" w:rsidRDefault="004D03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19.94.351</w:t>
          </w:r>
          <w:r>
            <w:fldChar w:fldCharType="end"/>
          </w:r>
        </w:p>
      </w:tc>
    </w:tr>
    <w:tr w:rsidR="00F24F6E" w:rsidTr="009C1E9A">
      <w:trPr>
        <w:cantSplit/>
      </w:trPr>
      <w:tc>
        <w:tcPr>
          <w:tcW w:w="0" w:type="pct"/>
        </w:tcPr>
        <w:p w:rsidR="00EC379B" w:rsidRDefault="004D03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D03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16773</w:t>
          </w:r>
        </w:p>
      </w:tc>
      <w:tc>
        <w:tcPr>
          <w:tcW w:w="2453" w:type="pct"/>
        </w:tcPr>
        <w:p w:rsidR="00EC379B" w:rsidRDefault="004D0359" w:rsidP="006D504F">
          <w:pPr>
            <w:pStyle w:val="Footer"/>
            <w:rPr>
              <w:rStyle w:val="PageNumber"/>
            </w:rPr>
          </w:pPr>
        </w:p>
        <w:p w:rsidR="00EC379B" w:rsidRDefault="004D03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4F6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D03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D035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D035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0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0359">
      <w:r>
        <w:separator/>
      </w:r>
    </w:p>
  </w:footnote>
  <w:footnote w:type="continuationSeparator" w:id="0">
    <w:p w:rsidR="00000000" w:rsidRDefault="004D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0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0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D0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4313"/>
    <w:multiLevelType w:val="hybridMultilevel"/>
    <w:tmpl w:val="E6F289D0"/>
    <w:lvl w:ilvl="0" w:tplc="A2448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C4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85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E2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A8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E57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0E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EB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C7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1484F"/>
    <w:multiLevelType w:val="hybridMultilevel"/>
    <w:tmpl w:val="A5BA8474"/>
    <w:lvl w:ilvl="0" w:tplc="D7EE480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338E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68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64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00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98A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4B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21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1446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6E"/>
    <w:rsid w:val="004D0359"/>
    <w:rsid w:val="00F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D0CD5D-271D-4CA5-BEBA-FC9AEFEE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19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1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19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197B"/>
    <w:rPr>
      <w:b/>
      <w:bCs/>
    </w:rPr>
  </w:style>
  <w:style w:type="paragraph" w:styleId="Revision">
    <w:name w:val="Revision"/>
    <w:hidden/>
    <w:uiPriority w:val="99"/>
    <w:semiHidden/>
    <w:rsid w:val="008E19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1920</Characters>
  <Application>Microsoft Office Word</Application>
  <DocSecurity>4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HB01494 (Committee Report (Substituted))</vt:lpstr>
    </vt:vector>
  </TitlesOfParts>
  <Company>State of Texas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24367</dc:subject>
  <dc:creator>State of Texas</dc:creator>
  <dc:description>HB 1494 by Guillen-(H)Judiciary &amp; Civil Jurisprudence (Substitute Document Number: 86R 16773)</dc:description>
  <cp:lastModifiedBy>Stacey Nicchio</cp:lastModifiedBy>
  <cp:revision>2</cp:revision>
  <cp:lastPrinted>2003-11-26T17:21:00Z</cp:lastPrinted>
  <dcterms:created xsi:type="dcterms:W3CDTF">2019-04-16T21:46:00Z</dcterms:created>
  <dcterms:modified xsi:type="dcterms:W3CDTF">2019-04-16T21:46:00Z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19.94.351</vt:lpwstr>
  </property>
</Properties>
</file>