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0168" w:rsidTr="000D4DF8">
        <w:tc>
          <w:tcPr>
            <w:tcW w:w="9576" w:type="dxa"/>
            <w:noWrap/>
          </w:tcPr>
          <w:p w:rsidR="008423E4" w:rsidRPr="0022177D" w:rsidRDefault="006C6E88" w:rsidP="000D4DF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6E88" w:rsidP="008423E4">
      <w:pPr>
        <w:jc w:val="center"/>
      </w:pPr>
    </w:p>
    <w:p w:rsidR="008423E4" w:rsidRPr="00B31F0E" w:rsidRDefault="006C6E88" w:rsidP="008423E4"/>
    <w:p w:rsidR="008423E4" w:rsidRPr="00742794" w:rsidRDefault="006C6E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0168" w:rsidTr="000D4DF8">
        <w:tc>
          <w:tcPr>
            <w:tcW w:w="9576" w:type="dxa"/>
          </w:tcPr>
          <w:p w:rsidR="008423E4" w:rsidRPr="00861995" w:rsidRDefault="006C6E88" w:rsidP="000D4DF8">
            <w:pPr>
              <w:jc w:val="right"/>
            </w:pPr>
            <w:r>
              <w:t>H.B. 1501</w:t>
            </w:r>
          </w:p>
        </w:tc>
      </w:tr>
      <w:tr w:rsidR="003A0168" w:rsidTr="000D4DF8">
        <w:tc>
          <w:tcPr>
            <w:tcW w:w="9576" w:type="dxa"/>
          </w:tcPr>
          <w:p w:rsidR="008423E4" w:rsidRPr="00861995" w:rsidRDefault="006C6E88" w:rsidP="00816DCA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3A0168" w:rsidTr="000D4DF8">
        <w:tc>
          <w:tcPr>
            <w:tcW w:w="9576" w:type="dxa"/>
          </w:tcPr>
          <w:p w:rsidR="008423E4" w:rsidRPr="00861995" w:rsidRDefault="006C6E88" w:rsidP="000D4DF8">
            <w:pPr>
              <w:jc w:val="right"/>
            </w:pPr>
            <w:r>
              <w:t>Public Health</w:t>
            </w:r>
          </w:p>
        </w:tc>
      </w:tr>
      <w:tr w:rsidR="003A0168" w:rsidTr="000D4DF8">
        <w:tc>
          <w:tcPr>
            <w:tcW w:w="9576" w:type="dxa"/>
          </w:tcPr>
          <w:p w:rsidR="008423E4" w:rsidRDefault="006C6E88" w:rsidP="000D4DF8">
            <w:pPr>
              <w:jc w:val="right"/>
            </w:pPr>
            <w:r>
              <w:t>Committee Report (Unamended)</w:t>
            </w:r>
          </w:p>
        </w:tc>
      </w:tr>
    </w:tbl>
    <w:p w:rsidR="008423E4" w:rsidRDefault="006C6E88" w:rsidP="008423E4">
      <w:pPr>
        <w:tabs>
          <w:tab w:val="right" w:pos="9360"/>
        </w:tabs>
      </w:pPr>
    </w:p>
    <w:p w:rsidR="008423E4" w:rsidRDefault="006C6E88" w:rsidP="008423E4"/>
    <w:p w:rsidR="008423E4" w:rsidRDefault="006C6E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0168" w:rsidTr="000D4DF8">
        <w:tc>
          <w:tcPr>
            <w:tcW w:w="9576" w:type="dxa"/>
          </w:tcPr>
          <w:p w:rsidR="008423E4" w:rsidRPr="00A8133F" w:rsidRDefault="006C6E88" w:rsidP="00C94B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6E88" w:rsidP="00C94B5B"/>
          <w:p w:rsidR="008423E4" w:rsidRDefault="006C6E88" w:rsidP="00C94B5B">
            <w:pPr>
              <w:pStyle w:val="Header"/>
              <w:jc w:val="both"/>
            </w:pPr>
            <w:r>
              <w:t xml:space="preserve">The Sunset Advisory Commission found that the current structure of </w:t>
            </w:r>
            <w:r w:rsidRPr="00FF71B0">
              <w:t xml:space="preserve">the </w:t>
            </w:r>
            <w:r>
              <w:t xml:space="preserve">state's four behavioral health licensing boards, the </w:t>
            </w:r>
            <w:r w:rsidRPr="00FF71B0">
              <w:t xml:space="preserve">Texas State </w:t>
            </w:r>
            <w:r w:rsidRPr="00FF71B0">
              <w:t>Board</w:t>
            </w:r>
            <w:r>
              <w:t xml:space="preserve"> of Examiners of Psychologists</w:t>
            </w:r>
            <w:r w:rsidRPr="00FF71B0">
              <w:t>, the Texas State Board of Examiners of Marriage and Family Therapists, the Texas State Board of Examiners of Professional Counselors, and the Texas State Board of Social Worker Examiners</w:t>
            </w:r>
            <w:r>
              <w:t>,</w:t>
            </w:r>
            <w:r w:rsidRPr="00FF71B0">
              <w:t xml:space="preserve"> </w:t>
            </w:r>
            <w:r>
              <w:t>continues to impede these boards</w:t>
            </w:r>
            <w:r>
              <w:t>'</w:t>
            </w:r>
            <w:r>
              <w:t xml:space="preserve"> ability to operate as intended and respond to an ongoing backlog of licensing applications and enforcement complaints. H.B. 1501 seeks to </w:t>
            </w:r>
            <w:r>
              <w:t xml:space="preserve">remedy this situation by </w:t>
            </w:r>
            <w:r>
              <w:t>consolidat</w:t>
            </w:r>
            <w:r>
              <w:t>ing</w:t>
            </w:r>
            <w:r>
              <w:t xml:space="preserve"> the</w:t>
            </w:r>
            <w:r>
              <w:t xml:space="preserve"> licensing functions of these</w:t>
            </w:r>
            <w:r>
              <w:t xml:space="preserve"> boards </w:t>
            </w:r>
            <w:r>
              <w:t xml:space="preserve">under </w:t>
            </w:r>
            <w:r>
              <w:t xml:space="preserve">a new umbrella agency, the </w:t>
            </w:r>
            <w:r w:rsidRPr="00FB68A9">
              <w:t>Texa</w:t>
            </w:r>
            <w:r w:rsidRPr="00FB68A9">
              <w:t>s Behavioral Healt</w:t>
            </w:r>
            <w:r>
              <w:t>h Executive Council, and making related statutory modifications.</w:t>
            </w:r>
          </w:p>
          <w:p w:rsidR="008423E4" w:rsidRPr="00E26B13" w:rsidRDefault="006C6E88" w:rsidP="00C94B5B">
            <w:pPr>
              <w:rPr>
                <w:b/>
              </w:rPr>
            </w:pPr>
          </w:p>
        </w:tc>
      </w:tr>
      <w:tr w:rsidR="003A0168" w:rsidTr="000D4DF8">
        <w:tc>
          <w:tcPr>
            <w:tcW w:w="9576" w:type="dxa"/>
          </w:tcPr>
          <w:p w:rsidR="0017725B" w:rsidRDefault="006C6E88" w:rsidP="00C94B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6E88" w:rsidP="00C94B5B">
            <w:pPr>
              <w:rPr>
                <w:b/>
                <w:u w:val="single"/>
              </w:rPr>
            </w:pPr>
          </w:p>
          <w:p w:rsidR="008409C6" w:rsidRPr="008409C6" w:rsidRDefault="006C6E88" w:rsidP="00C94B5B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6C6E88" w:rsidP="00C94B5B">
            <w:pPr>
              <w:rPr>
                <w:b/>
                <w:u w:val="single"/>
              </w:rPr>
            </w:pPr>
          </w:p>
        </w:tc>
      </w:tr>
      <w:tr w:rsidR="003A0168" w:rsidTr="000D4DF8">
        <w:tc>
          <w:tcPr>
            <w:tcW w:w="9576" w:type="dxa"/>
          </w:tcPr>
          <w:p w:rsidR="008423E4" w:rsidRPr="00A8133F" w:rsidRDefault="006C6E88" w:rsidP="00C94B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6E88" w:rsidP="00C94B5B"/>
          <w:p w:rsidR="008409C6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395F79">
              <w:t xml:space="preserve">Texas Behavioral Health Executive </w:t>
            </w:r>
            <w:r w:rsidRPr="003D26B0">
              <w:t xml:space="preserve">Council </w:t>
            </w:r>
            <w:r w:rsidRPr="003D26B0">
              <w:t xml:space="preserve">in </w:t>
            </w:r>
            <w:r w:rsidRPr="00193441">
              <w:t>SECTION</w:t>
            </w:r>
            <w:r>
              <w:t>S</w:t>
            </w:r>
            <w:r w:rsidRPr="00193441">
              <w:t xml:space="preserve"> 1.0</w:t>
            </w:r>
            <w:r w:rsidRPr="00193441">
              <w:t>0</w:t>
            </w:r>
            <w:r w:rsidRPr="00193441">
              <w:t>1</w:t>
            </w:r>
            <w:r w:rsidRPr="00193441">
              <w:t xml:space="preserve">, </w:t>
            </w:r>
            <w:r w:rsidRPr="00193441">
              <w:t>2.014</w:t>
            </w:r>
            <w:r w:rsidRPr="003D26B0">
              <w:t xml:space="preserve">, </w:t>
            </w:r>
            <w:r w:rsidRPr="00193441">
              <w:t>2.017</w:t>
            </w:r>
            <w:r w:rsidRPr="003D26B0">
              <w:t>,</w:t>
            </w:r>
            <w:r w:rsidRPr="003D26B0">
              <w:t xml:space="preserve"> </w:t>
            </w:r>
            <w:r w:rsidRPr="00193441">
              <w:t>2.019</w:t>
            </w:r>
            <w:r w:rsidRPr="003D26B0">
              <w:t xml:space="preserve">, </w:t>
            </w:r>
            <w:r w:rsidRPr="00193441">
              <w:t>2.021</w:t>
            </w:r>
            <w:r w:rsidRPr="003D26B0">
              <w:t>,</w:t>
            </w:r>
            <w:r w:rsidRPr="003D26B0">
              <w:t xml:space="preserve"> </w:t>
            </w:r>
            <w:r w:rsidRPr="00193441">
              <w:t>2.026</w:t>
            </w:r>
            <w:r w:rsidRPr="003D26B0">
              <w:t xml:space="preserve">, </w:t>
            </w:r>
            <w:r>
              <w:t xml:space="preserve">2.039, </w:t>
            </w:r>
            <w:r w:rsidRPr="00193441">
              <w:t>2.042</w:t>
            </w:r>
            <w:r w:rsidRPr="003D26B0">
              <w:t xml:space="preserve">, </w:t>
            </w:r>
            <w:r w:rsidRPr="00193441">
              <w:t>2.043</w:t>
            </w:r>
            <w:r w:rsidRPr="003D26B0">
              <w:t xml:space="preserve">, </w:t>
            </w:r>
            <w:r w:rsidRPr="00193441">
              <w:t>2.04</w:t>
            </w:r>
            <w:r w:rsidRPr="00193441">
              <w:t>5</w:t>
            </w:r>
            <w:r w:rsidRPr="003D26B0">
              <w:t xml:space="preserve">, </w:t>
            </w:r>
            <w:r>
              <w:t xml:space="preserve">2.061, </w:t>
            </w:r>
            <w:r w:rsidRPr="00193441">
              <w:t>2.067</w:t>
            </w:r>
            <w:r w:rsidRPr="003D26B0">
              <w:t xml:space="preserve">, </w:t>
            </w:r>
            <w:r w:rsidRPr="00193441">
              <w:t>2.068</w:t>
            </w:r>
            <w:r w:rsidRPr="003D26B0">
              <w:t>,</w:t>
            </w:r>
            <w:r w:rsidRPr="003D26B0">
              <w:t xml:space="preserve"> </w:t>
            </w:r>
            <w:r w:rsidRPr="00193441">
              <w:t>2.072</w:t>
            </w:r>
            <w:r w:rsidRPr="003D26B0">
              <w:t xml:space="preserve">, </w:t>
            </w:r>
            <w:r w:rsidRPr="00193441">
              <w:t>2.086</w:t>
            </w:r>
            <w:r w:rsidRPr="003D26B0">
              <w:t xml:space="preserve">, </w:t>
            </w:r>
            <w:r w:rsidRPr="00193441">
              <w:t>2.090</w:t>
            </w:r>
            <w:r w:rsidRPr="003D26B0">
              <w:t xml:space="preserve">, </w:t>
            </w:r>
            <w:r w:rsidRPr="00193441">
              <w:t>2.099</w:t>
            </w:r>
            <w:r w:rsidRPr="003D26B0">
              <w:t xml:space="preserve">, and </w:t>
            </w:r>
            <w:r w:rsidRPr="00193441">
              <w:t>2.104</w:t>
            </w:r>
            <w:r w:rsidRPr="003D26B0">
              <w:t xml:space="preserve"> </w:t>
            </w:r>
            <w:r w:rsidRPr="003D26B0">
              <w:t>of this bill.</w:t>
            </w:r>
          </w:p>
          <w:p w:rsidR="008423E4" w:rsidRPr="00E21FDC" w:rsidRDefault="006C6E88" w:rsidP="00C94B5B">
            <w:pPr>
              <w:rPr>
                <w:b/>
              </w:rPr>
            </w:pPr>
          </w:p>
        </w:tc>
      </w:tr>
      <w:tr w:rsidR="003A0168" w:rsidTr="000D4DF8">
        <w:tc>
          <w:tcPr>
            <w:tcW w:w="9576" w:type="dxa"/>
          </w:tcPr>
          <w:p w:rsidR="008423E4" w:rsidRPr="005C095E" w:rsidRDefault="006C6E88" w:rsidP="00C94B5B">
            <w:pPr>
              <w:rPr>
                <w:b/>
              </w:rPr>
            </w:pPr>
            <w:r w:rsidRPr="005C095E">
              <w:rPr>
                <w:b/>
                <w:u w:val="single"/>
              </w:rPr>
              <w:t>ANALYSIS</w:t>
            </w:r>
            <w:r w:rsidRPr="005C095E">
              <w:rPr>
                <w:b/>
              </w:rPr>
              <w:t xml:space="preserve"> </w:t>
            </w:r>
          </w:p>
          <w:p w:rsidR="008423E4" w:rsidRPr="005C095E" w:rsidRDefault="006C6E88" w:rsidP="00C94B5B"/>
          <w:p w:rsidR="002A2ADB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C095E">
              <w:t>H.B. 1501 amends the Occupations Code to</w:t>
            </w:r>
            <w:r w:rsidRPr="005C095E">
              <w:t xml:space="preserve"> </w:t>
            </w:r>
            <w:r w:rsidRPr="005C095E">
              <w:t xml:space="preserve">provide for the consolidation of the licensing and regulation of </w:t>
            </w:r>
            <w:r>
              <w:t xml:space="preserve">certain </w:t>
            </w:r>
            <w:r w:rsidRPr="005C095E">
              <w:t xml:space="preserve">mental and behavioral health occupations </w:t>
            </w:r>
            <w:r>
              <w:t xml:space="preserve">under an umbrella agency </w:t>
            </w:r>
            <w:r w:rsidRPr="005C095E">
              <w:t xml:space="preserve">by </w:t>
            </w:r>
            <w:r w:rsidRPr="005C095E">
              <w:t>establish</w:t>
            </w:r>
            <w:r w:rsidRPr="005C095E">
              <w:t>ing</w:t>
            </w:r>
            <w:r w:rsidRPr="005C095E">
              <w:t xml:space="preserve"> the Tex</w:t>
            </w:r>
            <w:r w:rsidRPr="005C095E">
              <w:t>as Behavioral Health Executive C</w:t>
            </w:r>
            <w:r w:rsidRPr="005C095E">
              <w:t>ouncil (BHEC)</w:t>
            </w:r>
            <w:r w:rsidRPr="005C095E">
              <w:t xml:space="preserve"> </w:t>
            </w:r>
            <w:r w:rsidRPr="005C095E">
              <w:t xml:space="preserve">and </w:t>
            </w:r>
            <w:r w:rsidRPr="005C095E">
              <w:t>transfer</w:t>
            </w:r>
            <w:r w:rsidRPr="005C095E">
              <w:t>ring</w:t>
            </w:r>
            <w:r w:rsidRPr="005C095E">
              <w:t xml:space="preserve"> certain powers and duties from </w:t>
            </w:r>
            <w:r w:rsidRPr="005C095E">
              <w:t>the Texas State Board of Examiners of Psychologists</w:t>
            </w:r>
            <w:r>
              <w:t xml:space="preserve"> (TSBEP)</w:t>
            </w:r>
            <w:r w:rsidRPr="005C095E">
              <w:t xml:space="preserve">, the Texas State Board of Examiners of Marriage and Family Therapists, the Texas State Board of Examiners of Professional Counselors, and the </w:t>
            </w:r>
            <w:r w:rsidRPr="005C095E">
              <w:t xml:space="preserve">Texas State Board of Social Worker Examiners to </w:t>
            </w:r>
            <w:r w:rsidRPr="005C095E">
              <w:t xml:space="preserve">the </w:t>
            </w:r>
            <w:r w:rsidRPr="005C095E">
              <w:t>BH</w:t>
            </w:r>
            <w:r w:rsidRPr="005C095E">
              <w:t>EC</w:t>
            </w:r>
            <w:r w:rsidRPr="005C095E">
              <w:t>.</w:t>
            </w:r>
            <w:r w:rsidRPr="005C095E">
              <w:t xml:space="preserve"> </w:t>
            </w:r>
            <w:r w:rsidRPr="005C095E">
              <w:t>The bill</w:t>
            </w:r>
            <w:r w:rsidRPr="005C095E">
              <w:t xml:space="preserve"> </w:t>
            </w:r>
            <w:r w:rsidRPr="005C095E">
              <w:t>sets out provisions relating to that transfer</w:t>
            </w:r>
            <w:r>
              <w:t xml:space="preserve">, including providing for the transfer of certain </w:t>
            </w:r>
            <w:r>
              <w:t xml:space="preserve">full-time equivalent employee </w:t>
            </w:r>
            <w:r>
              <w:t>positions</w:t>
            </w:r>
            <w:r>
              <w:t xml:space="preserve"> from the transferring entity</w:t>
            </w:r>
            <w:r>
              <w:t>. The bill</w:t>
            </w:r>
            <w:r w:rsidRPr="005C095E">
              <w:t xml:space="preserve"> </w:t>
            </w:r>
            <w:r w:rsidRPr="005C095E">
              <w:t>makes related statutory revisions</w:t>
            </w:r>
            <w:r>
              <w:t xml:space="preserve"> to accomplish</w:t>
            </w:r>
            <w:r>
              <w:t>, among other aims,</w:t>
            </w:r>
            <w:r>
              <w:t xml:space="preserve"> t</w:t>
            </w:r>
            <w:r>
              <w:t>he</w:t>
            </w:r>
            <w:r>
              <w:t xml:space="preserve"> </w:t>
            </w:r>
            <w:r>
              <w:t>streamlining</w:t>
            </w:r>
            <w:r>
              <w:t xml:space="preserve"> of</w:t>
            </w:r>
            <w:r>
              <w:t xml:space="preserve"> licensure requirements, including </w:t>
            </w:r>
            <w:r>
              <w:t>revising</w:t>
            </w:r>
            <w:r>
              <w:t xml:space="preserve"> the qualifications for a p</w:t>
            </w:r>
            <w:r>
              <w:t>sycho</w:t>
            </w:r>
            <w:r>
              <w:t>logist license</w:t>
            </w:r>
            <w:r>
              <w:t xml:space="preserve"> and</w:t>
            </w:r>
            <w:r>
              <w:t xml:space="preserve"> </w:t>
            </w:r>
            <w:r>
              <w:t xml:space="preserve">removing the </w:t>
            </w:r>
            <w:r>
              <w:t xml:space="preserve">authority </w:t>
            </w:r>
            <w:r>
              <w:t xml:space="preserve">for the TSBEP to administer an oral examination to qualified applicants, and </w:t>
            </w:r>
            <w:r w:rsidRPr="00624C74">
              <w:t>revises provisions relating to the provision</w:t>
            </w:r>
            <w:r w:rsidRPr="00624C74">
              <w:t xml:space="preserve">al licensing of a </w:t>
            </w:r>
            <w:r w:rsidRPr="00624C74">
              <w:t>psychologist</w:t>
            </w:r>
            <w:r w:rsidRPr="00624C74">
              <w:t>.</w:t>
            </w:r>
            <w:r w:rsidRPr="005C095E">
              <w:t xml:space="preserve"> </w:t>
            </w:r>
            <w:r>
              <w:t xml:space="preserve">The bill provides for the continuation until expiration of any such provisional license. </w:t>
            </w:r>
          </w:p>
          <w:p w:rsidR="002A2ADB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766E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H.B. 1501</w:t>
            </w:r>
            <w:r>
              <w:t xml:space="preserve"> repeals provisions subjecting the four </w:t>
            </w:r>
            <w:r>
              <w:t>transferring</w:t>
            </w:r>
            <w:r>
              <w:t xml:space="preserve"> boards to the Texas Sunset Act</w:t>
            </w:r>
            <w:r>
              <w:t>,</w:t>
            </w:r>
            <w:r>
              <w:t xml:space="preserve"> subjects the BHEC to that act</w:t>
            </w:r>
            <w:r>
              <w:t>,</w:t>
            </w:r>
            <w:r>
              <w:t xml:space="preserve"> and sets</w:t>
            </w:r>
            <w:r>
              <w:t xml:space="preserve"> the BHEC </w:t>
            </w:r>
            <w:r>
              <w:t xml:space="preserve">to be abolished and applicable statutes </w:t>
            </w:r>
            <w:r>
              <w:t>to expire September 1, 2031, unless continued in existence as provide</w:t>
            </w:r>
            <w:r>
              <w:t>d</w:t>
            </w:r>
            <w:r>
              <w:t xml:space="preserve"> by that act. </w:t>
            </w:r>
            <w:r w:rsidRPr="005C095E">
              <w:t xml:space="preserve">The bill requires </w:t>
            </w:r>
            <w:r w:rsidRPr="005C095E">
              <w:t xml:space="preserve">the </w:t>
            </w:r>
            <w:r w:rsidRPr="005C095E">
              <w:t xml:space="preserve">BHEC and the </w:t>
            </w:r>
            <w:r>
              <w:t xml:space="preserve">transferring </w:t>
            </w:r>
            <w:r w:rsidRPr="005C095E">
              <w:t>boards to adopt a transition plan that provide</w:t>
            </w:r>
            <w:r>
              <w:t>s for the orderly transfer o</w:t>
            </w:r>
            <w:r>
              <w:t>f powers, duties, functions, programs, and activities under the bill</w:t>
            </w:r>
            <w:r>
              <w:t xml:space="preserve"> and sets out requirements for the plan with regard to the transfer of a program</w:t>
            </w:r>
            <w:r>
              <w:t>. The plan must provide</w:t>
            </w:r>
            <w:r w:rsidRPr="005C095E">
              <w:t xml:space="preserve"> for the transfer of each regulatory program to be completed on or before August 31, </w:t>
            </w:r>
            <w:r w:rsidRPr="005C095E">
              <w:t>2020</w:t>
            </w:r>
            <w:r>
              <w:t xml:space="preserve">. </w:t>
            </w:r>
            <w:r w:rsidRPr="005C095E">
              <w:t xml:space="preserve">The bill establishes the Texas Behavioral Health Incubation Task Force to assist in the establishment of and transfer of regulatory programs to </w:t>
            </w:r>
            <w:r w:rsidRPr="005C095E">
              <w:t xml:space="preserve">the </w:t>
            </w:r>
            <w:r w:rsidRPr="005C095E">
              <w:t>BHEC</w:t>
            </w:r>
            <w:r w:rsidRPr="005C095E">
              <w:t xml:space="preserve"> and </w:t>
            </w:r>
            <w:r w:rsidRPr="005C095E">
              <w:t xml:space="preserve">sets out </w:t>
            </w:r>
            <w:r w:rsidRPr="005C095E">
              <w:t>provisions relating to the powers</w:t>
            </w:r>
            <w:r>
              <w:t xml:space="preserve">, </w:t>
            </w:r>
            <w:r w:rsidRPr="005C095E">
              <w:t>duties</w:t>
            </w:r>
            <w:r>
              <w:t>,</w:t>
            </w:r>
            <w:r w:rsidRPr="005C095E">
              <w:t xml:space="preserve"> and composition</w:t>
            </w:r>
            <w:r w:rsidRPr="005C095E">
              <w:t xml:space="preserve"> of the </w:t>
            </w:r>
            <w:r w:rsidRPr="005C095E">
              <w:t>t</w:t>
            </w:r>
            <w:r w:rsidRPr="005C095E">
              <w:t xml:space="preserve">ask </w:t>
            </w:r>
            <w:r w:rsidRPr="005C095E">
              <w:t>f</w:t>
            </w:r>
            <w:r w:rsidRPr="005C095E">
              <w:t>orce.</w:t>
            </w:r>
          </w:p>
          <w:p w:rsidR="0068766E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B04AD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C095E">
              <w:rPr>
                <w:rFonts w:eastAsiaTheme="minorHAnsi"/>
              </w:rPr>
              <w:t xml:space="preserve">H.B. </w:t>
            </w:r>
            <w:r w:rsidRPr="005C095E">
              <w:rPr>
                <w:rFonts w:eastAsiaTheme="minorHAnsi"/>
              </w:rPr>
              <w:t>1501</w:t>
            </w:r>
            <w:r w:rsidRPr="005C095E">
              <w:t xml:space="preserve"> </w:t>
            </w:r>
            <w:r>
              <w:t>provides for</w:t>
            </w:r>
            <w:r w:rsidRPr="005C095E">
              <w:t xml:space="preserve"> the membership of the </w:t>
            </w:r>
            <w:r>
              <w:t xml:space="preserve">nine-member </w:t>
            </w:r>
            <w:r w:rsidRPr="005C095E">
              <w:t>BHEC</w:t>
            </w:r>
            <w:r w:rsidRPr="005C095E">
              <w:t>,</w:t>
            </w:r>
            <w:r w:rsidRPr="005C095E">
              <w:t xml:space="preserve"> </w:t>
            </w:r>
            <w:r w:rsidRPr="005C095E">
              <w:t>which</w:t>
            </w:r>
            <w:r w:rsidRPr="005C095E">
              <w:t xml:space="preserve"> include</w:t>
            </w:r>
            <w:r w:rsidRPr="005C095E">
              <w:t>s</w:t>
            </w:r>
            <w:r w:rsidRPr="005C095E">
              <w:t xml:space="preserve"> </w:t>
            </w:r>
            <w:r>
              <w:t>one</w:t>
            </w:r>
            <w:r>
              <w:t xml:space="preserve"> professional</w:t>
            </w:r>
            <w:r>
              <w:t xml:space="preserve"> member </w:t>
            </w:r>
            <w:r>
              <w:t xml:space="preserve">and one public member </w:t>
            </w:r>
            <w:r>
              <w:t xml:space="preserve">of </w:t>
            </w:r>
            <w:r>
              <w:t>each</w:t>
            </w:r>
            <w:r>
              <w:t xml:space="preserve"> </w:t>
            </w:r>
            <w:r>
              <w:t>of the four transferring boards</w:t>
            </w:r>
            <w:r>
              <w:t>,</w:t>
            </w:r>
            <w:r w:rsidRPr="005C095E">
              <w:t xml:space="preserve"> </w:t>
            </w:r>
            <w:r>
              <w:t xml:space="preserve">appointed by those boards, </w:t>
            </w:r>
            <w:r>
              <w:t>as well as</w:t>
            </w:r>
            <w:r w:rsidRPr="005C095E">
              <w:t xml:space="preserve"> one public member appointed by the governor. </w:t>
            </w:r>
            <w:r w:rsidRPr="005C095E">
              <w:t>The bill requ</w:t>
            </w:r>
            <w:r w:rsidRPr="005C095E">
              <w:t>ires the appointing authorities to appoint</w:t>
            </w:r>
            <w:r>
              <w:t xml:space="preserve"> the BHEC</w:t>
            </w:r>
            <w:r w:rsidRPr="005C095E">
              <w:t xml:space="preserve"> members not later than December 1, 2019, and </w:t>
            </w:r>
            <w:r>
              <w:t>provides for the manner in which those members are appointed, including the stagger</w:t>
            </w:r>
            <w:r>
              <w:t>ed</w:t>
            </w:r>
            <w:r>
              <w:t xml:space="preserve"> </w:t>
            </w:r>
            <w:r>
              <w:t xml:space="preserve">expiration </w:t>
            </w:r>
            <w:r>
              <w:t>of terms.</w:t>
            </w:r>
            <w:r w:rsidRPr="005C095E">
              <w:t xml:space="preserve"> The bill </w:t>
            </w:r>
            <w:r>
              <w:t xml:space="preserve">sets out </w:t>
            </w:r>
            <w:r>
              <w:t xml:space="preserve">the following </w:t>
            </w:r>
            <w:r>
              <w:t xml:space="preserve">provisions relating </w:t>
            </w:r>
            <w:r>
              <w:t xml:space="preserve">to </w:t>
            </w:r>
            <w:r>
              <w:t xml:space="preserve">the </w:t>
            </w:r>
            <w:r>
              <w:t>BHEC:</w:t>
            </w:r>
          </w:p>
          <w:p w:rsidR="00CB04AD" w:rsidRDefault="006C6E88" w:rsidP="00C94B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eligibility of an individual</w:t>
            </w:r>
            <w:r w:rsidRPr="005C095E">
              <w:t xml:space="preserve"> </w:t>
            </w:r>
            <w:r>
              <w:t>to serve as the</w:t>
            </w:r>
            <w:r w:rsidRPr="005C095E">
              <w:t xml:space="preserve"> public member</w:t>
            </w:r>
            <w:r>
              <w:t xml:space="preserve"> appointed by the governor</w:t>
            </w:r>
            <w:r>
              <w:t>;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C095E">
              <w:t>conflicts of interest</w:t>
            </w:r>
            <w:r>
              <w:t xml:space="preserve"> that disqualify an individual from serving on the BHEC or as a BHEC employee</w:t>
            </w:r>
            <w:r>
              <w:t>;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member </w:t>
            </w:r>
            <w:r w:rsidRPr="005C095E">
              <w:t>term</w:t>
            </w:r>
            <w:r>
              <w:t>s</w:t>
            </w:r>
            <w:r w:rsidRPr="005C095E">
              <w:t xml:space="preserve"> </w:t>
            </w:r>
            <w:r>
              <w:t>of office</w:t>
            </w:r>
            <w:r>
              <w:t>;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board </w:t>
            </w:r>
            <w:r>
              <w:t>vacancy</w:t>
            </w:r>
            <w:r>
              <w:t>;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presiding officer</w:t>
            </w:r>
            <w:r>
              <w:t xml:space="preserve"> of the BHEC</w:t>
            </w:r>
            <w:r>
              <w:t>;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C095E">
              <w:t xml:space="preserve">grounds for </w:t>
            </w:r>
            <w:r>
              <w:t xml:space="preserve">member </w:t>
            </w:r>
            <w:r>
              <w:t>remo</w:t>
            </w:r>
            <w:r>
              <w:t>val</w:t>
            </w:r>
            <w:r>
              <w:t>;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member </w:t>
            </w:r>
            <w:r>
              <w:t>reimbursement</w:t>
            </w:r>
            <w:r>
              <w:t>;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meetings; and </w:t>
            </w:r>
          </w:p>
          <w:p w:rsidR="00CB04AD" w:rsidRDefault="006C6E88" w:rsidP="00C94B5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training required fo</w:t>
            </w:r>
            <w:r>
              <w:t xml:space="preserve">r </w:t>
            </w:r>
            <w:r>
              <w:t>members</w:t>
            </w:r>
            <w:r w:rsidRPr="005C095E">
              <w:t>.</w:t>
            </w:r>
            <w:r>
              <w:t xml:space="preserve"> </w:t>
            </w:r>
          </w:p>
          <w:p w:rsidR="00032670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requires an initial member of the BHEC to complete the required training no later than August 31, 202</w:t>
            </w:r>
            <w:r>
              <w:t>0</w:t>
            </w:r>
            <w:r>
              <w:t>,</w:t>
            </w:r>
            <w:r>
              <w:t xml:space="preserve"> and prohibits a member</w:t>
            </w:r>
            <w:r>
              <w:t>, on or af</w:t>
            </w:r>
            <w:r>
              <w:t>ter September 1, 2020,</w:t>
            </w:r>
            <w:r>
              <w:t xml:space="preserve"> from voting, </w:t>
            </w:r>
            <w:r>
              <w:t>deliberating</w:t>
            </w:r>
            <w:r>
              <w:t xml:space="preserve">, or being counted as a member in attendance until the member has completed the required training. </w:t>
            </w:r>
          </w:p>
          <w:p w:rsidR="00007CE8" w:rsidRPr="00DD3043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7CE8" w:rsidRPr="00DD3043" w:rsidRDefault="006C6E88" w:rsidP="00C94B5B">
            <w:pPr>
              <w:pStyle w:val="Header"/>
              <w:jc w:val="both"/>
            </w:pPr>
            <w:r w:rsidRPr="00DD3043">
              <w:t xml:space="preserve">H.B. 1501 </w:t>
            </w:r>
            <w:r>
              <w:t xml:space="preserve">repeals provisions </w:t>
            </w:r>
            <w:r>
              <w:t>relating to the</w:t>
            </w:r>
            <w:r>
              <w:t xml:space="preserve"> designation </w:t>
            </w:r>
            <w:r>
              <w:t>of</w:t>
            </w:r>
            <w:r>
              <w:t xml:space="preserve"> executive directors </w:t>
            </w:r>
            <w:r>
              <w:t>of</w:t>
            </w:r>
            <w:r>
              <w:t>,</w:t>
            </w:r>
            <w:r>
              <w:t xml:space="preserve"> and provision of staff </w:t>
            </w:r>
            <w:r>
              <w:t>for</w:t>
            </w:r>
            <w:r>
              <w:t>,</w:t>
            </w:r>
            <w:r>
              <w:t xml:space="preserve"> the respective boards </w:t>
            </w:r>
            <w:r>
              <w:t xml:space="preserve">and </w:t>
            </w:r>
            <w:r w:rsidRPr="00DD3043">
              <w:t>requires</w:t>
            </w:r>
            <w:r w:rsidRPr="005C095E">
              <w:t xml:space="preserve"> </w:t>
            </w:r>
            <w:r>
              <w:t xml:space="preserve">the </w:t>
            </w:r>
            <w:r w:rsidRPr="005C095E">
              <w:t xml:space="preserve">BHEC </w:t>
            </w:r>
            <w:r>
              <w:t xml:space="preserve">instead </w:t>
            </w:r>
            <w:r w:rsidRPr="005C095E">
              <w:t xml:space="preserve">to employ an executive director and other personnel as necessary to carry out the functions of </w:t>
            </w:r>
            <w:r>
              <w:t xml:space="preserve">the </w:t>
            </w:r>
            <w:r w:rsidRPr="005C095E">
              <w:t>BHEC</w:t>
            </w:r>
            <w:r w:rsidRPr="005C095E">
              <w:t xml:space="preserve"> </w:t>
            </w:r>
            <w:r>
              <w:t xml:space="preserve">and </w:t>
            </w:r>
            <w:r w:rsidRPr="005C095E">
              <w:t xml:space="preserve">administer the </w:t>
            </w:r>
            <w:r>
              <w:t xml:space="preserve">applicable </w:t>
            </w:r>
            <w:r w:rsidRPr="005C095E">
              <w:t>bill provisions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sets out related provisions</w:t>
            </w:r>
            <w:r w:rsidRPr="005C095E">
              <w:t xml:space="preserve"> </w:t>
            </w:r>
            <w:r>
              <w:t xml:space="preserve">and </w:t>
            </w:r>
            <w:r w:rsidRPr="005C095E">
              <w:t>requires</w:t>
            </w:r>
            <w:r>
              <w:t xml:space="preserve"> the</w:t>
            </w:r>
            <w:r w:rsidRPr="005C095E">
              <w:t xml:space="preserve"> BHEC to hire an executive director </w:t>
            </w:r>
            <w:r>
              <w:t xml:space="preserve">for BHEC </w:t>
            </w:r>
            <w:r w:rsidRPr="005C095E">
              <w:t>not later</w:t>
            </w:r>
            <w:r w:rsidRPr="005C095E">
              <w:t xml:space="preserve"> t</w:t>
            </w:r>
            <w:r>
              <w:t>h</w:t>
            </w:r>
            <w:r w:rsidRPr="005C095E">
              <w:t>an April 1, 2020</w:t>
            </w:r>
            <w:r>
              <w:t>,</w:t>
            </w:r>
            <w:r w:rsidRPr="005C095E">
              <w:t xml:space="preserve"> and</w:t>
            </w:r>
            <w:r w:rsidRPr="005C095E">
              <w:t xml:space="preserve"> to adopt procedural rules to implement </w:t>
            </w:r>
            <w:r>
              <w:t>the</w:t>
            </w:r>
            <w:r w:rsidRPr="005C095E">
              <w:t xml:space="preserve"> </w:t>
            </w:r>
            <w:r w:rsidRPr="005C095E">
              <w:t>bill provisions</w:t>
            </w:r>
            <w:r>
              <w:t xml:space="preserve"> relating to the BHEC</w:t>
            </w:r>
            <w:r w:rsidRPr="005C095E">
              <w:t xml:space="preserve"> not later than July 31, 2020.</w:t>
            </w:r>
          </w:p>
          <w:p w:rsidR="00007CE8" w:rsidRPr="001A2DEF" w:rsidRDefault="006C6E88" w:rsidP="00C94B5B">
            <w:pPr>
              <w:pStyle w:val="Header"/>
              <w:jc w:val="both"/>
            </w:pPr>
          </w:p>
          <w:p w:rsidR="00603186" w:rsidRDefault="006C6E88" w:rsidP="00C94B5B">
            <w:pPr>
              <w:pStyle w:val="Header"/>
              <w:jc w:val="both"/>
            </w:pPr>
            <w:r w:rsidRPr="001A2DEF">
              <w:t xml:space="preserve">H.B. 1501 </w:t>
            </w:r>
            <w:r>
              <w:t>sets out the powers and duties of</w:t>
            </w:r>
            <w:r w:rsidRPr="001A2DEF">
              <w:t xml:space="preserve"> </w:t>
            </w:r>
            <w:r>
              <w:t xml:space="preserve">the </w:t>
            </w:r>
            <w:r w:rsidRPr="001A2DEF">
              <w:t>BHEC</w:t>
            </w:r>
            <w:r>
              <w:t xml:space="preserve">, </w:t>
            </w:r>
            <w:r>
              <w:t>including the requirement</w:t>
            </w:r>
            <w:r w:rsidRPr="001A2DEF">
              <w:t xml:space="preserve"> to administer and enforce </w:t>
            </w:r>
            <w:r w:rsidRPr="00F40D95">
              <w:t>the Psychologists' Licensing Act</w:t>
            </w:r>
            <w:r>
              <w:t xml:space="preserve">, the </w:t>
            </w:r>
            <w:r w:rsidRPr="00F40D95">
              <w:t>Licensed Marriage and Family Therapist Act</w:t>
            </w:r>
            <w:r>
              <w:t xml:space="preserve">, the </w:t>
            </w:r>
            <w:r w:rsidRPr="00F40D95">
              <w:t>Licensed Professional Counselor Act</w:t>
            </w:r>
            <w:r>
              <w:t xml:space="preserve">, and the </w:t>
            </w:r>
            <w:r w:rsidRPr="00F40D95">
              <w:t>Social Work Practice Act</w:t>
            </w:r>
            <w:r>
              <w:t xml:space="preserve"> </w:t>
            </w:r>
            <w:r>
              <w:t>and</w:t>
            </w:r>
            <w:r w:rsidRPr="005C095E">
              <w:t xml:space="preserve"> to adopt rules necessary to perform its duti</w:t>
            </w:r>
            <w:r w:rsidRPr="005C095E">
              <w:t xml:space="preserve">es </w:t>
            </w:r>
            <w:r>
              <w:t>and implement the applicable bill provisions. The bill</w:t>
            </w:r>
            <w:r>
              <w:t xml:space="preserve"> does the following:</w:t>
            </w:r>
          </w:p>
          <w:p w:rsidR="00603186" w:rsidRDefault="006C6E88" w:rsidP="00C94B5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sets out provisions relating to that rulemaking authority and requires the respective licensing boards to propose to the BHEC certain rules and a schedule of sanctions for violat</w:t>
            </w:r>
            <w:r>
              <w:t>ions of applicable state law and adopted rule</w:t>
            </w:r>
            <w:r>
              <w:t>s</w:t>
            </w:r>
            <w:r>
              <w:t>;</w:t>
            </w:r>
            <w:r w:rsidRPr="005C095E">
              <w:t xml:space="preserve"> </w:t>
            </w:r>
          </w:p>
          <w:p w:rsidR="00CB04AD" w:rsidRDefault="006C6E88" w:rsidP="00C94B5B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5C095E">
              <w:t xml:space="preserve">requires </w:t>
            </w:r>
            <w:r>
              <w:t xml:space="preserve">the </w:t>
            </w:r>
            <w:r w:rsidRPr="005C095E">
              <w:t xml:space="preserve">BHEC to set fees in amounts reasonable and necessary to cover the costs of administering </w:t>
            </w:r>
            <w:r>
              <w:t>those acts and applicable bill provisions</w:t>
            </w:r>
            <w:r>
              <w:t xml:space="preserve"> and repeals provisions of those acts setting a minimum fee</w:t>
            </w:r>
            <w:r>
              <w:t>; and</w:t>
            </w:r>
            <w:r>
              <w:t xml:space="preserve"> </w:t>
            </w:r>
          </w:p>
          <w:p w:rsidR="00603186" w:rsidRDefault="006C6E88" w:rsidP="00C94B5B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provides for an annual registry of all applicable license holders under BHEC jurisdiction</w:t>
            </w:r>
            <w:r w:rsidRPr="005C095E">
              <w:t>.</w:t>
            </w:r>
          </w:p>
          <w:p w:rsidR="0074339E" w:rsidRDefault="006C6E88" w:rsidP="00C94B5B">
            <w:pPr>
              <w:pStyle w:val="Header"/>
              <w:spacing w:before="120" w:after="120"/>
              <w:jc w:val="both"/>
            </w:pPr>
          </w:p>
          <w:p w:rsidR="00603186" w:rsidRDefault="006C6E88" w:rsidP="00C94B5B">
            <w:pPr>
              <w:pStyle w:val="Header"/>
              <w:jc w:val="both"/>
            </w:pPr>
            <w:r>
              <w:t>H.B. 1501 sets out general licensing provisions related to the BHEC, including the following:</w:t>
            </w:r>
          </w:p>
          <w:p w:rsidR="00603186" w:rsidRDefault="006C6E88" w:rsidP="00C94B5B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conditioning the issuance of an initial or renewal occupational </w:t>
            </w:r>
            <w:r>
              <w:t>license</w:t>
            </w:r>
            <w:r>
              <w:t xml:space="preserve">, with certain exceptions, </w:t>
            </w:r>
            <w:r>
              <w:t>on the applicant</w:t>
            </w:r>
            <w:r>
              <w:t xml:space="preserve"> </w:t>
            </w:r>
            <w:r>
              <w:t>submitting</w:t>
            </w:r>
            <w:r>
              <w:t xml:space="preserve"> fingerprints </w:t>
            </w:r>
            <w:r>
              <w:t xml:space="preserve">to the BHEC </w:t>
            </w:r>
            <w:r>
              <w:t xml:space="preserve">or the Department of Public Safety for obtaining </w:t>
            </w:r>
            <w:r>
              <w:t>crim</w:t>
            </w:r>
            <w:r>
              <w:t>inal history record information;</w:t>
            </w:r>
          </w:p>
          <w:p w:rsidR="00603186" w:rsidRDefault="006C6E88" w:rsidP="00C94B5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providing for the notification</w:t>
            </w:r>
            <w:r>
              <w:t xml:space="preserve"> of </w:t>
            </w:r>
            <w:r>
              <w:t xml:space="preserve">an applicant </w:t>
            </w:r>
            <w:r>
              <w:t>about</w:t>
            </w:r>
            <w:r>
              <w:t xml:space="preserve"> examination results;</w:t>
            </w:r>
          </w:p>
          <w:p w:rsidR="00603186" w:rsidRDefault="006C6E88" w:rsidP="00C94B5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providing</w:t>
            </w:r>
            <w:r>
              <w:t xml:space="preserve"> limits on and requirements for reexamination;</w:t>
            </w:r>
          </w:p>
          <w:p w:rsidR="00603186" w:rsidRDefault="006C6E88" w:rsidP="00C94B5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providing for license renewal, including for </w:t>
            </w:r>
            <w:r>
              <w:t>renew</w:t>
            </w:r>
            <w:r>
              <w:t>al</w:t>
            </w:r>
            <w:r>
              <w:t xml:space="preserve"> of expired license</w:t>
            </w:r>
            <w:r>
              <w:t>s</w:t>
            </w:r>
            <w:r>
              <w:t xml:space="preserve"> </w:t>
            </w:r>
            <w:r>
              <w:t xml:space="preserve">of </w:t>
            </w:r>
            <w:r>
              <w:t>certain out</w:t>
            </w:r>
            <w:r>
              <w:noBreakHyphen/>
            </w:r>
            <w:r>
              <w:t>of</w:t>
            </w:r>
            <w:r>
              <w:noBreakHyphen/>
            </w:r>
            <w:r>
              <w:t>state practitioners; and</w:t>
            </w:r>
          </w:p>
          <w:p w:rsidR="0074339E" w:rsidRPr="005C095E" w:rsidRDefault="006C6E88" w:rsidP="00C94B5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requiring the BHEC to </w:t>
            </w:r>
            <w:r>
              <w:t xml:space="preserve">establish a process to </w:t>
            </w:r>
            <w:r>
              <w:t xml:space="preserve">search </w:t>
            </w:r>
            <w:r w:rsidRPr="00200C9E">
              <w:t>at least one national practitioner databa</w:t>
            </w:r>
            <w:r w:rsidRPr="00200C9E">
              <w:t>se to determine whether another state has taken any disciplinary or other legal action against an applicant or license holder before issuing an initial or renewal license.</w:t>
            </w:r>
          </w:p>
          <w:p w:rsidR="00007CE8" w:rsidRPr="00DD3043" w:rsidRDefault="006C6E88" w:rsidP="00C94B5B">
            <w:pPr>
              <w:pStyle w:val="Header"/>
              <w:jc w:val="both"/>
            </w:pPr>
          </w:p>
          <w:p w:rsidR="00007CE8" w:rsidRPr="005C095E" w:rsidRDefault="006C6E88" w:rsidP="00C94B5B">
            <w:pPr>
              <w:pStyle w:val="Header"/>
              <w:jc w:val="both"/>
            </w:pPr>
            <w:r w:rsidRPr="00DD3043">
              <w:t>H.B. 1501</w:t>
            </w:r>
            <w:r w:rsidRPr="00366C5A">
              <w:t xml:space="preserve"> </w:t>
            </w:r>
            <w:r>
              <w:t>provides for the establishment of BHEC complaint procedures</w:t>
            </w:r>
            <w:r>
              <w:t xml:space="preserve"> and sets out </w:t>
            </w:r>
            <w:r>
              <w:t xml:space="preserve">provisions relating to those procedures, including requiring the </w:t>
            </w:r>
            <w:r w:rsidRPr="00E31497">
              <w:t>B</w:t>
            </w:r>
            <w:r>
              <w:t>HEC to adopt rules concerning the investigation of a complaint, providing for the confidentiality of complaint information, granting subpoena power, providing for public participation in the</w:t>
            </w:r>
            <w:r>
              <w:t xml:space="preserve"> process</w:t>
            </w:r>
            <w:r>
              <w:t xml:space="preserve">, and establishing the manner in which the BHEC will solicit input and request assistance from the </w:t>
            </w:r>
            <w:r>
              <w:t>applicable board</w:t>
            </w:r>
            <w:r>
              <w:t xml:space="preserve"> regarding </w:t>
            </w:r>
            <w:r>
              <w:t xml:space="preserve">a </w:t>
            </w:r>
            <w:r>
              <w:t>co</w:t>
            </w:r>
            <w:r>
              <w:t>mplaint</w:t>
            </w:r>
            <w:r>
              <w:t xml:space="preserve"> involving standards of care or ethical practice</w:t>
            </w:r>
            <w:r>
              <w:t>.</w:t>
            </w:r>
            <w:r>
              <w:t xml:space="preserve"> </w:t>
            </w:r>
            <w:r>
              <w:t>The bill provides for</w:t>
            </w:r>
            <w:r>
              <w:t xml:space="preserve"> the preparation and dissemination of ce</w:t>
            </w:r>
            <w:r>
              <w:t>rtain</w:t>
            </w:r>
            <w:r w:rsidRPr="00366C5A">
              <w:t xml:space="preserve"> information</w:t>
            </w:r>
            <w:r w:rsidRPr="005C095E">
              <w:t xml:space="preserve"> of public interest </w:t>
            </w:r>
            <w:r>
              <w:t>relating to</w:t>
            </w:r>
            <w:r w:rsidRPr="005C095E">
              <w:t xml:space="preserve"> BHEC </w:t>
            </w:r>
            <w:r>
              <w:t xml:space="preserve">functions </w:t>
            </w:r>
            <w:r w:rsidRPr="007F0DC9">
              <w:t>and th</w:t>
            </w:r>
            <w:r w:rsidRPr="002C2E71">
              <w:t>os</w:t>
            </w:r>
            <w:r w:rsidRPr="00583306">
              <w:t xml:space="preserve">e </w:t>
            </w:r>
            <w:r w:rsidRPr="002C2E71">
              <w:t xml:space="preserve">complaint </w:t>
            </w:r>
            <w:r w:rsidRPr="002C2E71">
              <w:t>procedures</w:t>
            </w:r>
            <w:r w:rsidRPr="002C2E71">
              <w:t>. The</w:t>
            </w:r>
            <w:r>
              <w:t xml:space="preserve"> bill authorizes the BHEC to issue and establish terms of a remedial plan to resolve the investigation of a complaint filed under </w:t>
            </w:r>
            <w:r w:rsidRPr="007A72A0">
              <w:t xml:space="preserve">the Psychologists' </w:t>
            </w:r>
            <w:r w:rsidRPr="007A72A0">
              <w:t>Licensing Act</w:t>
            </w:r>
            <w:r>
              <w:t xml:space="preserve"> and sets out related provisions.</w:t>
            </w:r>
          </w:p>
          <w:p w:rsidR="00007CE8" w:rsidRPr="00DD3043" w:rsidRDefault="006C6E88" w:rsidP="00C94B5B">
            <w:pPr>
              <w:pStyle w:val="Header"/>
              <w:jc w:val="both"/>
            </w:pPr>
          </w:p>
          <w:p w:rsidR="00007CE8" w:rsidRDefault="006C6E88" w:rsidP="00C94B5B">
            <w:pPr>
              <w:pStyle w:val="Header"/>
              <w:jc w:val="both"/>
            </w:pPr>
            <w:r w:rsidRPr="00DD3043">
              <w:t xml:space="preserve">H.B. </w:t>
            </w:r>
            <w:r w:rsidRPr="00366C5A">
              <w:t>1501 authorizes BHEC to deny</w:t>
            </w:r>
            <w:r w:rsidRPr="005C095E">
              <w:t xml:space="preserve">, revoke, suspend, or refuse to renew a license or </w:t>
            </w:r>
            <w:r>
              <w:t>to</w:t>
            </w:r>
            <w:r w:rsidRPr="005C095E">
              <w:t xml:space="preserve"> </w:t>
            </w:r>
            <w:r w:rsidRPr="005C095E">
              <w:t xml:space="preserve">reprimand a license holder </w:t>
            </w:r>
            <w:r>
              <w:t>for certain violations of law or adopted rules and sets out provisions relating to those disci</w:t>
            </w:r>
            <w:r>
              <w:t xml:space="preserve">plinary actions and related </w:t>
            </w:r>
            <w:r>
              <w:t xml:space="preserve">sanctions and </w:t>
            </w:r>
            <w:r>
              <w:t>procedures, including providing for a temporary suspension of a license.</w:t>
            </w:r>
            <w:r w:rsidRPr="005C095E">
              <w:t xml:space="preserve"> </w:t>
            </w:r>
            <w:r>
              <w:t xml:space="preserve">The bill </w:t>
            </w:r>
            <w:r w:rsidRPr="001A2DEF">
              <w:t>authorize</w:t>
            </w:r>
            <w:r>
              <w:t>s</w:t>
            </w:r>
            <w:r w:rsidRPr="001A2DEF">
              <w:t xml:space="preserve"> </w:t>
            </w:r>
            <w:r>
              <w:t xml:space="preserve">the </w:t>
            </w:r>
            <w:r w:rsidRPr="001A2DEF">
              <w:t xml:space="preserve">BHEC to impose </w:t>
            </w:r>
            <w:r>
              <w:t xml:space="preserve">certain </w:t>
            </w:r>
            <w:r w:rsidRPr="001A2DEF">
              <w:t>administrative</w:t>
            </w:r>
            <w:r>
              <w:t xml:space="preserve"> </w:t>
            </w:r>
            <w:r>
              <w:t>and</w:t>
            </w:r>
            <w:r>
              <w:t xml:space="preserve"> civil</w:t>
            </w:r>
            <w:r w:rsidRPr="001A2DEF">
              <w:t xml:space="preserve"> penalt</w:t>
            </w:r>
            <w:r>
              <w:t>ies</w:t>
            </w:r>
            <w:r w:rsidRPr="005C095E">
              <w:t xml:space="preserve"> </w:t>
            </w:r>
            <w:r>
              <w:t xml:space="preserve">and take certain enforcement actions </w:t>
            </w:r>
            <w:r>
              <w:t>and sets out provision</w:t>
            </w:r>
            <w:r>
              <w:t>s relating to that authority</w:t>
            </w:r>
            <w:r>
              <w:t xml:space="preserve">. The bill </w:t>
            </w:r>
            <w:r>
              <w:t xml:space="preserve">requires the BHEC by rule to develop </w:t>
            </w:r>
            <w:r w:rsidRPr="00D5072B">
              <w:t xml:space="preserve">a system to monitor a license holder's compliance with applicable laws and </w:t>
            </w:r>
            <w:r>
              <w:t>BHEC</w:t>
            </w:r>
            <w:r w:rsidRPr="00D5072B">
              <w:t xml:space="preserve"> rules</w:t>
            </w:r>
            <w:r>
              <w:t>.</w:t>
            </w:r>
            <w:r w:rsidRPr="005C095E">
              <w:t xml:space="preserve"> </w:t>
            </w:r>
          </w:p>
          <w:p w:rsidR="00B735A0" w:rsidRPr="00DD3043" w:rsidRDefault="006C6E88" w:rsidP="00C94B5B">
            <w:pPr>
              <w:pStyle w:val="Header"/>
              <w:jc w:val="both"/>
            </w:pPr>
          </w:p>
          <w:p w:rsidR="00B735A0" w:rsidRPr="005C095E" w:rsidRDefault="006C6E88" w:rsidP="00C94B5B">
            <w:pPr>
              <w:pStyle w:val="Header"/>
              <w:jc w:val="both"/>
            </w:pPr>
            <w:r w:rsidRPr="00DD3043">
              <w:t xml:space="preserve">H.B. 1501 </w:t>
            </w:r>
            <w:r>
              <w:t>revises the</w:t>
            </w:r>
            <w:r w:rsidRPr="00DD3043">
              <w:t xml:space="preserve"> training</w:t>
            </w:r>
            <w:r w:rsidRPr="005C095E">
              <w:t xml:space="preserve"> requirements for members of the </w:t>
            </w:r>
            <w:r>
              <w:t>TSBEP</w:t>
            </w:r>
            <w:r w:rsidRPr="005C095E">
              <w:t xml:space="preserve">, the Texas State Board of Examiners of Marriage and Family Therapists, the Texas State Board of Examiners of Professional Counselors, and the Texas State Board of Social Worker Examiners </w:t>
            </w:r>
            <w:r w:rsidRPr="005C095E">
              <w:t xml:space="preserve">and requires </w:t>
            </w:r>
            <w:r w:rsidRPr="00DD3043">
              <w:t>the BHEC executive director to create training manual</w:t>
            </w:r>
            <w:r>
              <w:t>s</w:t>
            </w:r>
            <w:r w:rsidRPr="00DD3043">
              <w:t xml:space="preserve"> </w:t>
            </w:r>
            <w:r w:rsidRPr="00DD3043">
              <w:t xml:space="preserve">for the members. The bill makes the </w:t>
            </w:r>
            <w:r>
              <w:t>new</w:t>
            </w:r>
            <w:r w:rsidRPr="00DD3043">
              <w:t xml:space="preserve"> training requirements</w:t>
            </w:r>
            <w:r w:rsidRPr="005C095E">
              <w:t xml:space="preserve"> applicable to any member </w:t>
            </w:r>
            <w:r>
              <w:t xml:space="preserve">of a transferring board </w:t>
            </w:r>
            <w:r w:rsidRPr="005C095E">
              <w:t>appointed before, on, or after the bill's effective date</w:t>
            </w:r>
            <w:r>
              <w:t xml:space="preserve"> and</w:t>
            </w:r>
            <w:r>
              <w:t xml:space="preserve"> prohibits such members from</w:t>
            </w:r>
            <w:r>
              <w:t xml:space="preserve"> voting, deliberating, or being counted as a member in at</w:t>
            </w:r>
            <w:r>
              <w:t xml:space="preserve">tendance at an applicable board meeting held on or after December 1, 2019, until the member completes the additional training. </w:t>
            </w:r>
          </w:p>
          <w:p w:rsidR="0045065F" w:rsidRPr="005C095E" w:rsidRDefault="006C6E88" w:rsidP="00C94B5B">
            <w:pPr>
              <w:pStyle w:val="Header"/>
              <w:jc w:val="both"/>
            </w:pPr>
          </w:p>
          <w:p w:rsidR="0045065F" w:rsidRPr="005C095E" w:rsidRDefault="006C6E88" w:rsidP="00C94B5B">
            <w:pPr>
              <w:pStyle w:val="Header"/>
              <w:jc w:val="both"/>
            </w:pPr>
            <w:r w:rsidRPr="005C095E">
              <w:t>H.B. 1501 provides for the adoption of the Psychology Interjurisdictional Compact and sets out the contents of the compact, inc</w:t>
            </w:r>
            <w:r w:rsidRPr="005C095E">
              <w:t>luding provisions relat</w:t>
            </w:r>
            <w:r>
              <w:t>ing</w:t>
            </w:r>
            <w:r w:rsidRPr="005C095E">
              <w:t xml:space="preserve"> to the practice </w:t>
            </w:r>
            <w:r>
              <w:t xml:space="preserve">and temporary </w:t>
            </w:r>
            <w:r>
              <w:t xml:space="preserve">in-person </w:t>
            </w:r>
            <w:r>
              <w:t xml:space="preserve">practice </w:t>
            </w:r>
            <w:r w:rsidRPr="005C095E">
              <w:t xml:space="preserve">of telepsychology in states </w:t>
            </w:r>
            <w:r>
              <w:t>that</w:t>
            </w:r>
            <w:r w:rsidRPr="005C095E">
              <w:t xml:space="preserve"> </w:t>
            </w:r>
            <w:r w:rsidRPr="005C095E">
              <w:t xml:space="preserve">approve the compact and provisions </w:t>
            </w:r>
            <w:r>
              <w:t xml:space="preserve">relating to </w:t>
            </w:r>
            <w:r w:rsidRPr="005C095E">
              <w:t>withdraw</w:t>
            </w:r>
            <w:r>
              <w:t>ing</w:t>
            </w:r>
            <w:r w:rsidRPr="005C095E">
              <w:t xml:space="preserve"> from the compact. </w:t>
            </w:r>
          </w:p>
          <w:p w:rsidR="00032670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7CE8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C095E">
              <w:t>H.B. 1501</w:t>
            </w:r>
            <w:r>
              <w:t xml:space="preserve"> amends</w:t>
            </w:r>
            <w:r w:rsidRPr="005C095E">
              <w:t xml:space="preserve"> the Code of Criminal Procedure, Government Code, Human Resources Code, </w:t>
            </w:r>
            <w:r>
              <w:t xml:space="preserve">and </w:t>
            </w:r>
            <w:r>
              <w:t>Insurance Code</w:t>
            </w:r>
            <w:r w:rsidRPr="005C095E">
              <w:t xml:space="preserve"> </w:t>
            </w:r>
            <w:r>
              <w:t xml:space="preserve">to </w:t>
            </w:r>
            <w:r w:rsidRPr="005C095E">
              <w:t>make conforming</w:t>
            </w:r>
            <w:r>
              <w:t xml:space="preserve"> changes</w:t>
            </w:r>
            <w:r w:rsidRPr="005C095E">
              <w:t>.</w:t>
            </w:r>
          </w:p>
          <w:p w:rsidR="004B3478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C095E">
              <w:t xml:space="preserve">H.B. 1501 repeals the following Occupations Code provisions: 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(1)  Section 501.002(3);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(2)  Section 501.005;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 xml:space="preserve">(3)  Subchapter C, Chapter </w:t>
            </w:r>
            <w:r w:rsidRPr="005C095E">
              <w:t>501;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(4)  Sections 501.151(a) and (b);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(5)  Section 501.152;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(6)  Section 501.154;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(7)  Section 501.156;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(8)  Section 501.157;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(9)  Section 501.160;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(10)  Section 501.161;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(11)  Section 501.162;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(12)  Subchapter E, Chapter 501;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 xml:space="preserve">(13)  Sections 501.252(b), </w:t>
            </w:r>
            <w:r w:rsidRPr="005C095E">
              <w:t>(c), and (d);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(14)  Section 501.254;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(15)  Sections 501.256(e), (f), and (g);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(16)  Section 501.2561;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(17)  Section 501.257;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(18)  Section 501.258;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(19)  Section 501.261(b);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(20)  Section 501.302;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(21)  Section 501.303;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(22)  Section 501.304;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(23)  Section</w:t>
            </w:r>
            <w:r w:rsidRPr="005C095E">
              <w:t xml:space="preserve"> 501.402;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(24)  Section 501.403;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(25)  Section 501.404;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(26)  Section 501.405;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(27)  Section 501.406;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(28)  Section 501.409;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(29)  Section 501.410;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(30)  Subchapter J, Chapter 501;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(31)  Section 501.501;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(32)  Section 501.502;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(33)  Section 501.504;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 xml:space="preserve">(34)  </w:t>
            </w:r>
            <w:r w:rsidRPr="005C095E">
              <w:t>Section 502.002(3);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(35)  Section 502.003;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(36)  Subchapter C, Chapter 502;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(37)  Section 502.152;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(38)  Section 502.153;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(39)  Section 502.154;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(40)  Section 502.156;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(41)  Section 502.1565;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(42)  Section 502.157;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(43)  Section 502.158;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(44)  Section 502.</w:t>
            </w:r>
            <w:r w:rsidRPr="005C095E">
              <w:t>161;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(45)  Section 502.162;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(46)  Section 502.163;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(47)  Subchapter E, Chapter 502;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(48)  Section 502.255;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(49)  Section 502.256;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(50)  Sections 502.301(b), (c), (d), and (e);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(51)  Section 502.302;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(52)  Section 502.303;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(53)  Section 502.352;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 xml:space="preserve">(54)  </w:t>
            </w:r>
            <w:r w:rsidRPr="005C095E">
              <w:t>Section 502.353;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(55)  Section 502.354;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(56)  Section 502.355;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(57)  Section 502.356;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(58)  Subchapter I, Chapter 502;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(59)  Section 502.451;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(60)  Section 502.452;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(61)  Section 502.453;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(62)  Section 502.455;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(63)  Section 503.005;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 xml:space="preserve">(64)  Subchapter D, </w:t>
            </w:r>
            <w:r w:rsidRPr="005C095E">
              <w:t>Chapter 503;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(65)  Section 503.202;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(66)  Section 503.203;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(67)  Section 503.204;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(68)  Section 503.2045;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(69)  Section 503.205;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(70)  Section 503.207;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(71)  Section 503.209;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(72)  Section 503.210;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(73)  Section 503.211;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(74)  Subchapter F, Chapter 503;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</w:t>
            </w:r>
            <w:r w:rsidRPr="005C095E">
              <w:t>5)  Section 503.306;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(76)  Section 503.307;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(77)  Section 503.354;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(78)  Section 503.355;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(79)  Section 503.356;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(80)  Sections 503.401(b), (c), and (d);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(81)  Section 503.402;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(82)  Section 503.403;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(83)  Section 503.404;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(84)  Section 503.405;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 xml:space="preserve">(85)  </w:t>
            </w:r>
            <w:r w:rsidRPr="005C095E">
              <w:t>Section 503.406;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(86)  Section 503.451;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(87)  Section 503.454;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(88)  Subchapter K, Chapter 503;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(89)  Section 505.005;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(90)  Section 505.110;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(91)  Subchapter C, Chapter 505;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(92)  Section 505.202;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(93)  Section 505.203;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(94)  Section 505.204;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(95)  Sectio</w:t>
            </w:r>
            <w:r w:rsidRPr="005C095E">
              <w:t>n 505.205;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(96)  Section 505.209;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(97)  Section 505.210;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(98)  Section 505.211;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(99)  Subchapter E, Chapter 505;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(100)  Section 505.355;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(101)  Section 505.356;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(102)  Section 505.402;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(103)  Section 505.403;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(104)  Section 505.404;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(105)  Section 505.452;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(106)  Section 505.453;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(107)  Section 505.454(b);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(108)  Section 505.455;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(109)  Section 505.456;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(110)  Section 505.457;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(111)  Section 505.501;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(112)  Section 505.503;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(113)  Section 505.504;</w:t>
            </w:r>
          </w:p>
          <w:p w:rsidR="004B3478" w:rsidRPr="005C095E" w:rsidRDefault="006C6E88" w:rsidP="00C94B5B">
            <w:pPr>
              <w:pStyle w:val="Header"/>
              <w:ind w:left="720"/>
              <w:jc w:val="both"/>
            </w:pPr>
            <w:r w:rsidRPr="005C095E">
              <w:t>(114)  Section 505.508; and</w:t>
            </w:r>
          </w:p>
          <w:p w:rsidR="004B3478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</w:pPr>
            <w:r w:rsidRPr="005C095E">
              <w:t>(115)  Subchapter K, Chapter 505</w:t>
            </w:r>
            <w:r w:rsidRPr="005C095E">
              <w:t>.</w:t>
            </w:r>
          </w:p>
          <w:p w:rsidR="004B3478" w:rsidRPr="005C095E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C095E">
              <w:t xml:space="preserve">       </w:t>
            </w:r>
            <w:r w:rsidRPr="005C095E">
              <w:t xml:space="preserve">  </w:t>
            </w:r>
          </w:p>
          <w:p w:rsidR="008423E4" w:rsidRPr="005C095E" w:rsidRDefault="006C6E88" w:rsidP="00C94B5B">
            <w:pPr>
              <w:rPr>
                <w:b/>
              </w:rPr>
            </w:pPr>
          </w:p>
        </w:tc>
      </w:tr>
      <w:tr w:rsidR="003A0168" w:rsidTr="000D4DF8">
        <w:tc>
          <w:tcPr>
            <w:tcW w:w="9576" w:type="dxa"/>
          </w:tcPr>
          <w:p w:rsidR="008423E4" w:rsidRPr="00A8133F" w:rsidRDefault="006C6E88" w:rsidP="00C94B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6C6E88" w:rsidP="00C94B5B"/>
          <w:p w:rsidR="008423E4" w:rsidRPr="003624F2" w:rsidRDefault="006C6E88" w:rsidP="00C94B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409C6">
              <w:t>September 1, 2019.</w:t>
            </w:r>
          </w:p>
          <w:p w:rsidR="008423E4" w:rsidRPr="00233FDB" w:rsidRDefault="006C6E88" w:rsidP="00C94B5B">
            <w:pPr>
              <w:rPr>
                <w:b/>
              </w:rPr>
            </w:pPr>
          </w:p>
        </w:tc>
      </w:tr>
    </w:tbl>
    <w:p w:rsidR="004108C3" w:rsidRPr="00391F5E" w:rsidRDefault="006C6E88" w:rsidP="008423E4">
      <w:pPr>
        <w:rPr>
          <w:sz w:val="2"/>
          <w:szCs w:val="2"/>
        </w:rPr>
      </w:pPr>
    </w:p>
    <w:sectPr w:rsidR="004108C3" w:rsidRPr="00391F5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6E88">
      <w:r>
        <w:separator/>
      </w:r>
    </w:p>
  </w:endnote>
  <w:endnote w:type="continuationSeparator" w:id="0">
    <w:p w:rsidR="00000000" w:rsidRDefault="006C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8F" w:rsidRDefault="006C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0168" w:rsidTr="009C1E9A">
      <w:trPr>
        <w:cantSplit/>
      </w:trPr>
      <w:tc>
        <w:tcPr>
          <w:tcW w:w="0" w:type="pct"/>
        </w:tcPr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0168" w:rsidTr="009C1E9A">
      <w:trPr>
        <w:cantSplit/>
      </w:trPr>
      <w:tc>
        <w:tcPr>
          <w:tcW w:w="0" w:type="pct"/>
        </w:tcPr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87648F" w:rsidRPr="009C1E9A" w:rsidRDefault="006C6E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22569</w:t>
          </w:r>
        </w:p>
      </w:tc>
      <w:tc>
        <w:tcPr>
          <w:tcW w:w="2453" w:type="pct"/>
        </w:tcPr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19.86.354</w:t>
          </w:r>
          <w:r>
            <w:fldChar w:fldCharType="end"/>
          </w:r>
        </w:p>
      </w:tc>
    </w:tr>
    <w:tr w:rsidR="003A0168" w:rsidTr="009C1E9A">
      <w:trPr>
        <w:cantSplit/>
      </w:trPr>
      <w:tc>
        <w:tcPr>
          <w:tcW w:w="0" w:type="pct"/>
        </w:tcPr>
        <w:p w:rsidR="0087648F" w:rsidRDefault="006C6E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87648F" w:rsidRPr="009C1E9A" w:rsidRDefault="006C6E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87648F" w:rsidRDefault="006C6E88" w:rsidP="006D504F">
          <w:pPr>
            <w:pStyle w:val="Footer"/>
            <w:rPr>
              <w:rStyle w:val="PageNumber"/>
            </w:rPr>
          </w:pPr>
        </w:p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0168" w:rsidTr="009C1E9A">
      <w:trPr>
        <w:cantSplit/>
        <w:trHeight w:val="323"/>
      </w:trPr>
      <w:tc>
        <w:tcPr>
          <w:tcW w:w="0" w:type="pct"/>
          <w:gridSpan w:val="3"/>
        </w:tcPr>
        <w:p w:rsidR="0087648F" w:rsidRDefault="006C6E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  <w:p w:rsidR="0087648F" w:rsidRDefault="006C6E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87648F" w:rsidRPr="00FF6F72" w:rsidRDefault="006C6E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8F" w:rsidRDefault="006C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6E88">
      <w:r>
        <w:separator/>
      </w:r>
    </w:p>
  </w:footnote>
  <w:footnote w:type="continuationSeparator" w:id="0">
    <w:p w:rsidR="00000000" w:rsidRDefault="006C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8F" w:rsidRDefault="006C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8F" w:rsidRDefault="006C6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8F" w:rsidRDefault="006C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7D73"/>
    <w:multiLevelType w:val="hybridMultilevel"/>
    <w:tmpl w:val="10E6B744"/>
    <w:lvl w:ilvl="0" w:tplc="F7447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C2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C5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69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3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4B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AB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8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C7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4AB"/>
    <w:multiLevelType w:val="hybridMultilevel"/>
    <w:tmpl w:val="A9E2EA76"/>
    <w:lvl w:ilvl="0" w:tplc="C4E2C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66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42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24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C7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4D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E2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2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C9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6D3A"/>
    <w:multiLevelType w:val="hybridMultilevel"/>
    <w:tmpl w:val="3030F256"/>
    <w:lvl w:ilvl="0" w:tplc="74CE7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C9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62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41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6C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CA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A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CF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C6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DD5"/>
    <w:multiLevelType w:val="hybridMultilevel"/>
    <w:tmpl w:val="B6207DEC"/>
    <w:lvl w:ilvl="0" w:tplc="CDB66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8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64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2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2A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81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C1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42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07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308D"/>
    <w:multiLevelType w:val="hybridMultilevel"/>
    <w:tmpl w:val="79CA98B4"/>
    <w:lvl w:ilvl="0" w:tplc="8AB60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A6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C7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6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62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4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48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3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66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E6D"/>
    <w:multiLevelType w:val="hybridMultilevel"/>
    <w:tmpl w:val="30D25624"/>
    <w:lvl w:ilvl="0" w:tplc="E70A1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41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E3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EA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0B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05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CF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C2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44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8"/>
    <w:rsid w:val="003A0168"/>
    <w:rsid w:val="006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7A4B4-1E3D-4BCF-9ED6-01A548E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8E2"/>
    <w:rPr>
      <w:b/>
      <w:bCs/>
    </w:rPr>
  </w:style>
  <w:style w:type="paragraph" w:styleId="Revision">
    <w:name w:val="Revision"/>
    <w:hidden/>
    <w:uiPriority w:val="99"/>
    <w:semiHidden/>
    <w:rsid w:val="009436A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10680</Characters>
  <Application>Microsoft Office Word</Application>
  <DocSecurity>4</DocSecurity>
  <Lines>272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HB01501 (Committee Report (Unamended))</vt:lpstr>
    </vt:vector>
  </TitlesOfParts>
  <Company>State of Texas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22569</dc:subject>
  <dc:creator>State of Texas</dc:creator>
  <dc:description>HB 1501 by Nevárez-(H)Public Health</dc:description>
  <cp:lastModifiedBy>Scotty Wimberley</cp:lastModifiedBy>
  <cp:revision>2</cp:revision>
  <cp:lastPrinted>2019-02-21T14:36:00Z</cp:lastPrinted>
  <dcterms:created xsi:type="dcterms:W3CDTF">2019-03-27T18:56:00Z</dcterms:created>
  <dcterms:modified xsi:type="dcterms:W3CDTF">2019-03-27T18:56:00Z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19.86.354</vt:lpwstr>
  </property>
</Properties>
</file>