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57449" w:rsidTr="00345119">
        <w:tc>
          <w:tcPr>
            <w:tcW w:w="9576" w:type="dxa"/>
            <w:noWrap/>
          </w:tcPr>
          <w:p w:rsidR="008423E4" w:rsidRPr="0022177D" w:rsidRDefault="006870FA" w:rsidP="00345119">
            <w:pPr>
              <w:pStyle w:val="Heading1"/>
            </w:pPr>
            <w:bookmarkStart w:id="0" w:name="_GoBack"/>
            <w:bookmarkEnd w:id="0"/>
            <w:r w:rsidRPr="00631897">
              <w:t>BILL ANALYSIS</w:t>
            </w:r>
          </w:p>
        </w:tc>
      </w:tr>
    </w:tbl>
    <w:p w:rsidR="008423E4" w:rsidRPr="0022177D" w:rsidRDefault="006870FA" w:rsidP="008423E4">
      <w:pPr>
        <w:jc w:val="center"/>
      </w:pPr>
    </w:p>
    <w:p w:rsidR="008423E4" w:rsidRPr="00B31F0E" w:rsidRDefault="006870FA" w:rsidP="008423E4"/>
    <w:p w:rsidR="008423E4" w:rsidRPr="00742794" w:rsidRDefault="006870FA" w:rsidP="008423E4">
      <w:pPr>
        <w:tabs>
          <w:tab w:val="right" w:pos="9360"/>
        </w:tabs>
      </w:pPr>
    </w:p>
    <w:tbl>
      <w:tblPr>
        <w:tblW w:w="0" w:type="auto"/>
        <w:tblLayout w:type="fixed"/>
        <w:tblLook w:val="01E0" w:firstRow="1" w:lastRow="1" w:firstColumn="1" w:lastColumn="1" w:noHBand="0" w:noVBand="0"/>
      </w:tblPr>
      <w:tblGrid>
        <w:gridCol w:w="9576"/>
      </w:tblGrid>
      <w:tr w:rsidR="00757449" w:rsidTr="00345119">
        <w:tc>
          <w:tcPr>
            <w:tcW w:w="9576" w:type="dxa"/>
          </w:tcPr>
          <w:p w:rsidR="008423E4" w:rsidRPr="00861995" w:rsidRDefault="006870FA" w:rsidP="00345119">
            <w:pPr>
              <w:jc w:val="right"/>
            </w:pPr>
            <w:r>
              <w:t>C.S.H.B. 1504</w:t>
            </w:r>
          </w:p>
        </w:tc>
      </w:tr>
      <w:tr w:rsidR="00757449" w:rsidTr="00345119">
        <w:tc>
          <w:tcPr>
            <w:tcW w:w="9576" w:type="dxa"/>
          </w:tcPr>
          <w:p w:rsidR="008423E4" w:rsidRPr="00861995" w:rsidRDefault="006870FA" w:rsidP="00E73E33">
            <w:pPr>
              <w:jc w:val="right"/>
            </w:pPr>
            <w:r>
              <w:t xml:space="preserve">By: </w:t>
            </w:r>
            <w:r>
              <w:t>Paddie</w:t>
            </w:r>
          </w:p>
        </w:tc>
      </w:tr>
      <w:tr w:rsidR="00757449" w:rsidTr="00345119">
        <w:tc>
          <w:tcPr>
            <w:tcW w:w="9576" w:type="dxa"/>
          </w:tcPr>
          <w:p w:rsidR="008423E4" w:rsidRPr="00861995" w:rsidRDefault="006870FA" w:rsidP="00345119">
            <w:pPr>
              <w:jc w:val="right"/>
            </w:pPr>
            <w:r>
              <w:t>Public Health</w:t>
            </w:r>
          </w:p>
        </w:tc>
      </w:tr>
      <w:tr w:rsidR="00757449" w:rsidTr="00345119">
        <w:tc>
          <w:tcPr>
            <w:tcW w:w="9576" w:type="dxa"/>
          </w:tcPr>
          <w:p w:rsidR="008423E4" w:rsidRDefault="006870FA" w:rsidP="00345119">
            <w:pPr>
              <w:jc w:val="right"/>
            </w:pPr>
            <w:r>
              <w:t>Committee Report (Substituted)</w:t>
            </w:r>
          </w:p>
        </w:tc>
      </w:tr>
    </w:tbl>
    <w:p w:rsidR="008423E4" w:rsidRDefault="006870FA" w:rsidP="008423E4">
      <w:pPr>
        <w:tabs>
          <w:tab w:val="right" w:pos="9360"/>
        </w:tabs>
      </w:pPr>
    </w:p>
    <w:p w:rsidR="008423E4" w:rsidRDefault="006870FA" w:rsidP="008423E4"/>
    <w:p w:rsidR="008423E4" w:rsidRDefault="006870FA" w:rsidP="008423E4"/>
    <w:tbl>
      <w:tblPr>
        <w:tblW w:w="0" w:type="auto"/>
        <w:tblCellMar>
          <w:left w:w="115" w:type="dxa"/>
          <w:right w:w="115" w:type="dxa"/>
        </w:tblCellMar>
        <w:tblLook w:val="01E0" w:firstRow="1" w:lastRow="1" w:firstColumn="1" w:lastColumn="1" w:noHBand="0" w:noVBand="0"/>
      </w:tblPr>
      <w:tblGrid>
        <w:gridCol w:w="9576"/>
      </w:tblGrid>
      <w:tr w:rsidR="00757449" w:rsidTr="00345119">
        <w:tc>
          <w:tcPr>
            <w:tcW w:w="9576" w:type="dxa"/>
          </w:tcPr>
          <w:p w:rsidR="008423E4" w:rsidRPr="00A8133F" w:rsidRDefault="006870FA" w:rsidP="00133BB0">
            <w:pPr>
              <w:rPr>
                <w:b/>
              </w:rPr>
            </w:pPr>
            <w:r w:rsidRPr="009C1E9A">
              <w:rPr>
                <w:b/>
                <w:u w:val="single"/>
              </w:rPr>
              <w:t>BACKGROUND AND PURPOSE</w:t>
            </w:r>
            <w:r>
              <w:rPr>
                <w:b/>
              </w:rPr>
              <w:t xml:space="preserve"> </w:t>
            </w:r>
          </w:p>
          <w:p w:rsidR="008423E4" w:rsidRDefault="006870FA" w:rsidP="00133BB0"/>
          <w:p w:rsidR="008423E4" w:rsidRDefault="006870FA" w:rsidP="00133BB0">
            <w:pPr>
              <w:pStyle w:val="Header"/>
              <w:tabs>
                <w:tab w:val="clear" w:pos="4320"/>
                <w:tab w:val="clear" w:pos="8640"/>
              </w:tabs>
              <w:jc w:val="both"/>
            </w:pPr>
            <w:r w:rsidRPr="007A4AA2">
              <w:t>The Texas Medical Board</w:t>
            </w:r>
            <w:r>
              <w:t xml:space="preserve"> (TMB), which traces its history back to 1907 when the legislature established the Texas State Board of Medical </w:t>
            </w:r>
            <w:r>
              <w:t>Examiners,</w:t>
            </w:r>
            <w:r w:rsidRPr="007A4AA2">
              <w:t xml:space="preserve"> is responsible for licensing and regulating medical practitioners in </w:t>
            </w:r>
            <w:r>
              <w:t xml:space="preserve">Texas </w:t>
            </w:r>
            <w:r>
              <w:t xml:space="preserve">to ensure that Texans receive safe and quality medical care. </w:t>
            </w:r>
            <w:r>
              <w:t>S</w:t>
            </w:r>
            <w:r w:rsidRPr="007A4AA2">
              <w:t xml:space="preserve">ubject to </w:t>
            </w:r>
            <w:r>
              <w:t xml:space="preserve">review and abolishment under </w:t>
            </w:r>
            <w:r w:rsidRPr="007A4AA2">
              <w:t>the Texas Sunset Act</w:t>
            </w:r>
            <w:r>
              <w:t xml:space="preserve">, the Sunset Advisory Commission found that </w:t>
            </w:r>
            <w:r>
              <w:t>key e</w:t>
            </w:r>
            <w:r>
              <w:t xml:space="preserve">lements of </w:t>
            </w:r>
            <w:r>
              <w:t>TMB</w:t>
            </w:r>
            <w:r>
              <w:t xml:space="preserve"> licensing and regulatory functions do not conform to </w:t>
            </w:r>
            <w:r>
              <w:t xml:space="preserve">common </w:t>
            </w:r>
            <w:r>
              <w:t>licensing standards</w:t>
            </w:r>
            <w:r>
              <w:t>.</w:t>
            </w:r>
            <w:r w:rsidRPr="007A4AA2">
              <w:t xml:space="preserve"> </w:t>
            </w:r>
            <w:r>
              <w:t>C.S.H.B.</w:t>
            </w:r>
            <w:r w:rsidRPr="007A4AA2">
              <w:t xml:space="preserve"> 1504 seeks to continue the </w:t>
            </w:r>
            <w:r>
              <w:t>T</w:t>
            </w:r>
            <w:r>
              <w:t>MB</w:t>
            </w:r>
            <w:r w:rsidRPr="007A4AA2">
              <w:t xml:space="preserve"> </w:t>
            </w:r>
            <w:r>
              <w:t xml:space="preserve">and address this issue </w:t>
            </w:r>
            <w:r w:rsidRPr="007A4AA2">
              <w:t>with several statutory modifications</w:t>
            </w:r>
            <w:r>
              <w:t xml:space="preserve"> </w:t>
            </w:r>
            <w:r>
              <w:t>designed to enhance TMB's ability to protect patients and th</w:t>
            </w:r>
            <w:r>
              <w:t>e public while affording license holders due process</w:t>
            </w:r>
            <w:r w:rsidRPr="007A4AA2">
              <w:t>.</w:t>
            </w:r>
          </w:p>
          <w:p w:rsidR="008423E4" w:rsidRPr="00E26B13" w:rsidRDefault="006870FA" w:rsidP="00133BB0">
            <w:pPr>
              <w:rPr>
                <w:b/>
              </w:rPr>
            </w:pPr>
          </w:p>
        </w:tc>
      </w:tr>
      <w:tr w:rsidR="00757449" w:rsidTr="00345119">
        <w:tc>
          <w:tcPr>
            <w:tcW w:w="9576" w:type="dxa"/>
          </w:tcPr>
          <w:p w:rsidR="0017725B" w:rsidRDefault="006870FA" w:rsidP="00133BB0">
            <w:pPr>
              <w:rPr>
                <w:b/>
                <w:u w:val="single"/>
              </w:rPr>
            </w:pPr>
            <w:r>
              <w:rPr>
                <w:b/>
                <w:u w:val="single"/>
              </w:rPr>
              <w:t>CRIMINAL JUSTICE IMPACT</w:t>
            </w:r>
          </w:p>
          <w:p w:rsidR="0017725B" w:rsidRDefault="006870FA" w:rsidP="00133BB0">
            <w:pPr>
              <w:rPr>
                <w:b/>
                <w:u w:val="single"/>
              </w:rPr>
            </w:pPr>
          </w:p>
          <w:p w:rsidR="00237B89" w:rsidRPr="00237B89" w:rsidRDefault="006870FA" w:rsidP="00133BB0">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6870FA" w:rsidP="00133BB0">
            <w:pPr>
              <w:rPr>
                <w:b/>
                <w:u w:val="single"/>
              </w:rPr>
            </w:pPr>
          </w:p>
        </w:tc>
      </w:tr>
      <w:tr w:rsidR="00757449" w:rsidTr="00345119">
        <w:tc>
          <w:tcPr>
            <w:tcW w:w="9576" w:type="dxa"/>
          </w:tcPr>
          <w:p w:rsidR="008423E4" w:rsidRPr="00A8133F" w:rsidRDefault="006870FA" w:rsidP="00133BB0">
            <w:pPr>
              <w:rPr>
                <w:b/>
              </w:rPr>
            </w:pPr>
            <w:r w:rsidRPr="009C1E9A">
              <w:rPr>
                <w:b/>
                <w:u w:val="single"/>
              </w:rPr>
              <w:t>RULEMAKING AUTHORITY</w:t>
            </w:r>
            <w:r>
              <w:rPr>
                <w:b/>
              </w:rPr>
              <w:t xml:space="preserve"> </w:t>
            </w:r>
          </w:p>
          <w:p w:rsidR="008423E4" w:rsidRDefault="006870FA" w:rsidP="00133BB0"/>
          <w:p w:rsidR="00237B89" w:rsidRDefault="006870FA" w:rsidP="00133BB0">
            <w:pPr>
              <w:pStyle w:val="Header"/>
              <w:tabs>
                <w:tab w:val="clear" w:pos="4320"/>
                <w:tab w:val="clear" w:pos="8640"/>
              </w:tabs>
              <w:jc w:val="both"/>
            </w:pPr>
            <w:r>
              <w:t>It is the committee's opinion that rulemaking authority is expressly granted to the Texas Medical Board in SECTION</w:t>
            </w:r>
            <w:r>
              <w:t>S</w:t>
            </w:r>
            <w:r>
              <w:t xml:space="preserve"> </w:t>
            </w:r>
            <w:r>
              <w:t>6</w:t>
            </w:r>
            <w:r>
              <w:t xml:space="preserve">, </w:t>
            </w:r>
            <w:r>
              <w:t xml:space="preserve">11, </w:t>
            </w:r>
            <w:r>
              <w:t>16</w:t>
            </w:r>
            <w:r>
              <w:t xml:space="preserve">, </w:t>
            </w:r>
            <w:r>
              <w:t xml:space="preserve">and </w:t>
            </w:r>
            <w:r>
              <w:t>26</w:t>
            </w:r>
            <w:r>
              <w:t xml:space="preserve"> </w:t>
            </w:r>
            <w:r>
              <w:t>of this bill.</w:t>
            </w:r>
          </w:p>
          <w:p w:rsidR="008423E4" w:rsidRPr="00E21FDC" w:rsidRDefault="006870FA" w:rsidP="00133BB0">
            <w:pPr>
              <w:rPr>
                <w:b/>
              </w:rPr>
            </w:pPr>
          </w:p>
        </w:tc>
      </w:tr>
      <w:tr w:rsidR="00757449" w:rsidTr="00345119">
        <w:tc>
          <w:tcPr>
            <w:tcW w:w="9576" w:type="dxa"/>
          </w:tcPr>
          <w:p w:rsidR="008423E4" w:rsidRPr="00A8133F" w:rsidRDefault="006870FA" w:rsidP="00133BB0">
            <w:pPr>
              <w:rPr>
                <w:b/>
              </w:rPr>
            </w:pPr>
            <w:r w:rsidRPr="009C1E9A">
              <w:rPr>
                <w:b/>
                <w:u w:val="single"/>
              </w:rPr>
              <w:t>ANALYSIS</w:t>
            </w:r>
            <w:r>
              <w:rPr>
                <w:b/>
              </w:rPr>
              <w:t xml:space="preserve"> </w:t>
            </w:r>
          </w:p>
          <w:p w:rsidR="008423E4" w:rsidRDefault="006870FA" w:rsidP="00133BB0"/>
          <w:p w:rsidR="00420BAC" w:rsidRDefault="006870FA" w:rsidP="00133BB0">
            <w:pPr>
              <w:pStyle w:val="Header"/>
              <w:tabs>
                <w:tab w:val="clear" w:pos="4320"/>
                <w:tab w:val="clear" w:pos="8640"/>
              </w:tabs>
              <w:jc w:val="both"/>
            </w:pPr>
            <w:r>
              <w:t>C.S.H.B.</w:t>
            </w:r>
            <w:r>
              <w:t xml:space="preserve"> 1504 amends the Occupations Code to </w:t>
            </w:r>
            <w:r>
              <w:t xml:space="preserve">postpone from </w:t>
            </w:r>
            <w:r>
              <w:t xml:space="preserve">September 1, </w:t>
            </w:r>
            <w:r>
              <w:t>2019</w:t>
            </w:r>
            <w:r>
              <w:t xml:space="preserve">, </w:t>
            </w:r>
            <w:r>
              <w:t>to</w:t>
            </w:r>
            <w:r>
              <w:t xml:space="preserve"> September 1,</w:t>
            </w:r>
            <w:r>
              <w:t xml:space="preserve"> 2031</w:t>
            </w:r>
            <w:r>
              <w:t>,</w:t>
            </w:r>
            <w:r>
              <w:t xml:space="preserve"> the </w:t>
            </w:r>
            <w:r>
              <w:t>date on which the Texas Medical Board (TMB)</w:t>
            </w:r>
            <w:r>
              <w:t xml:space="preserve"> </w:t>
            </w:r>
            <w:r>
              <w:t xml:space="preserve">is </w:t>
            </w:r>
            <w:r>
              <w:t xml:space="preserve">abolished and </w:t>
            </w:r>
            <w:r>
              <w:t xml:space="preserve">the Medical Practice Act, </w:t>
            </w:r>
            <w:r>
              <w:t xml:space="preserve">the </w:t>
            </w:r>
            <w:r w:rsidRPr="00C45238">
              <w:t>Physician Assistant Licensing Act</w:t>
            </w:r>
            <w:r>
              <w:t xml:space="preserve">, </w:t>
            </w:r>
            <w:r w:rsidRPr="00C45238">
              <w:t>the Medical Radiologic Technologist Certification Act</w:t>
            </w:r>
            <w:r>
              <w:t xml:space="preserve">, </w:t>
            </w:r>
            <w:r>
              <w:t xml:space="preserve">the </w:t>
            </w:r>
            <w:r w:rsidRPr="00C45238">
              <w:t>Medical Physics Practice Act</w:t>
            </w:r>
            <w:r>
              <w:t xml:space="preserve">, </w:t>
            </w:r>
            <w:r w:rsidRPr="00C45238">
              <w:t>the Licensed Perfusionists Act</w:t>
            </w:r>
            <w:r>
              <w:t xml:space="preserve">, </w:t>
            </w:r>
            <w:r>
              <w:t xml:space="preserve">statutory provisions </w:t>
            </w:r>
            <w:r>
              <w:t>regulati</w:t>
            </w:r>
            <w:r>
              <w:t>ng</w:t>
            </w:r>
            <w:r>
              <w:t xml:space="preserve"> acupuncture, </w:t>
            </w:r>
            <w:r w:rsidRPr="00A151C3">
              <w:t xml:space="preserve">statutory provisions </w:t>
            </w:r>
            <w:r>
              <w:t>governing</w:t>
            </w:r>
            <w:r>
              <w:t xml:space="preserve"> </w:t>
            </w:r>
            <w:r>
              <w:t xml:space="preserve">surgical assistants, and </w:t>
            </w:r>
            <w:r w:rsidRPr="00A151C3">
              <w:t xml:space="preserve">statutory provisions </w:t>
            </w:r>
            <w:r>
              <w:t>governing</w:t>
            </w:r>
            <w:r>
              <w:t xml:space="preserve"> </w:t>
            </w:r>
            <w:r w:rsidRPr="00C45238">
              <w:t>respiratory care practitioners</w:t>
            </w:r>
            <w:r>
              <w:t xml:space="preserve"> expire unless continued in existence as provided by the Texas Sunset Act. </w:t>
            </w:r>
          </w:p>
          <w:p w:rsidR="00420BAC" w:rsidRDefault="006870FA" w:rsidP="00133BB0">
            <w:pPr>
              <w:pStyle w:val="Header"/>
              <w:tabs>
                <w:tab w:val="clear" w:pos="4320"/>
                <w:tab w:val="clear" w:pos="8640"/>
              </w:tabs>
              <w:jc w:val="both"/>
            </w:pPr>
          </w:p>
          <w:p w:rsidR="002A0FA0" w:rsidRDefault="006870FA" w:rsidP="00133BB0">
            <w:pPr>
              <w:pStyle w:val="Header"/>
              <w:jc w:val="both"/>
            </w:pPr>
            <w:r>
              <w:t>C.S.H.B.</w:t>
            </w:r>
            <w:r>
              <w:t xml:space="preserve"> 1504</w:t>
            </w:r>
            <w:r>
              <w:t xml:space="preserve"> revises provisions relating to </w:t>
            </w:r>
            <w:r>
              <w:t xml:space="preserve">the TMB </w:t>
            </w:r>
            <w:r>
              <w:t>negotiated</w:t>
            </w:r>
            <w:r>
              <w:t xml:space="preserve"> rulemaking</w:t>
            </w:r>
            <w:r>
              <w:t>.</w:t>
            </w:r>
            <w:r>
              <w:t xml:space="preserve"> </w:t>
            </w:r>
            <w:r>
              <w:t>T</w:t>
            </w:r>
            <w:r>
              <w:t xml:space="preserve">he </w:t>
            </w:r>
            <w:r>
              <w:t xml:space="preserve">bill revises provisions relating to the </w:t>
            </w:r>
            <w:r>
              <w:t>trai</w:t>
            </w:r>
            <w:r>
              <w:t xml:space="preserve">ning </w:t>
            </w:r>
            <w:r>
              <w:t xml:space="preserve">required </w:t>
            </w:r>
            <w:r>
              <w:t xml:space="preserve">for </w:t>
            </w:r>
            <w:r>
              <w:t>TMB</w:t>
            </w:r>
            <w:r>
              <w:t xml:space="preserve"> mem</w:t>
            </w:r>
            <w:r>
              <w:t>bers</w:t>
            </w:r>
            <w:r>
              <w:t>,</w:t>
            </w:r>
            <w:r>
              <w:t xml:space="preserve"> </w:t>
            </w:r>
            <w:r>
              <w:t xml:space="preserve">members of the Texas State Board of Acupuncture Examiners, </w:t>
            </w:r>
            <w:r w:rsidRPr="00A776E6">
              <w:t xml:space="preserve">members of the Texas Board </w:t>
            </w:r>
            <w:r>
              <w:t>o</w:t>
            </w:r>
            <w:r w:rsidRPr="00A776E6">
              <w:t>f Medical Radiologic Technology</w:t>
            </w:r>
            <w:r>
              <w:t xml:space="preserve">, and members of the Texas Board of Respiratory Care </w:t>
            </w:r>
            <w:r>
              <w:t xml:space="preserve">and sets out provisions relating to </w:t>
            </w:r>
            <w:r>
              <w:t>that required training</w:t>
            </w:r>
            <w:r>
              <w:t xml:space="preserve">. </w:t>
            </w:r>
            <w:r>
              <w:t>The revised trainin</w:t>
            </w:r>
            <w:r>
              <w:t>g require</w:t>
            </w:r>
            <w:r>
              <w:t>ment</w:t>
            </w:r>
            <w:r>
              <w:t xml:space="preserve">s apply to board members appointed before, on, or after the bill's effective date, except that a board member who completed the existing training requirements must complete </w:t>
            </w:r>
            <w:r>
              <w:t xml:space="preserve">only </w:t>
            </w:r>
            <w:r>
              <w:t xml:space="preserve">the </w:t>
            </w:r>
            <w:r>
              <w:t xml:space="preserve">additional </w:t>
            </w:r>
            <w:r>
              <w:t>training on subjects added by the bill. The bill p</w:t>
            </w:r>
            <w:r>
              <w:t>rohibits a board member from voting, deliberating, or being counted as a member in attendance at a board meeting held on or after December 1, 2019, until the member complete</w:t>
            </w:r>
            <w:r>
              <w:t>s</w:t>
            </w:r>
            <w:r>
              <w:t xml:space="preserve"> the additional required training.</w:t>
            </w:r>
          </w:p>
          <w:p w:rsidR="00FF2DDE" w:rsidRDefault="006870FA" w:rsidP="00133BB0">
            <w:pPr>
              <w:pStyle w:val="Header"/>
              <w:tabs>
                <w:tab w:val="clear" w:pos="4320"/>
                <w:tab w:val="clear" w:pos="8640"/>
              </w:tabs>
              <w:jc w:val="both"/>
            </w:pPr>
            <w:r>
              <w:br/>
            </w:r>
            <w:r>
              <w:t>C.S.H.B.</w:t>
            </w:r>
            <w:r>
              <w:t xml:space="preserve"> 1504</w:t>
            </w:r>
            <w:r>
              <w:t xml:space="preserve"> </w:t>
            </w:r>
            <w:r>
              <w:t>revises provisions relating to t</w:t>
            </w:r>
            <w:r>
              <w:t>he update of a physician's TMB profile</w:t>
            </w:r>
            <w:r>
              <w:t xml:space="preserve"> as follows</w:t>
            </w:r>
            <w:r>
              <w:t>:</w:t>
            </w:r>
          </w:p>
          <w:p w:rsidR="00FF2DDE" w:rsidRDefault="006870FA" w:rsidP="00133BB0">
            <w:pPr>
              <w:pStyle w:val="Header"/>
              <w:numPr>
                <w:ilvl w:val="0"/>
                <w:numId w:val="2"/>
              </w:numPr>
              <w:tabs>
                <w:tab w:val="clear" w:pos="4320"/>
                <w:tab w:val="clear" w:pos="8640"/>
              </w:tabs>
              <w:spacing w:before="120" w:after="120"/>
              <w:jc w:val="both"/>
            </w:pPr>
            <w:r>
              <w:t>authorize</w:t>
            </w:r>
            <w:r>
              <w:t>s</w:t>
            </w:r>
            <w:r>
              <w:t xml:space="preserve"> the TMB, on or after the fifth anniversary of the date a remedial plan</w:t>
            </w:r>
            <w:r>
              <w:t xml:space="preserve"> to resolve </w:t>
            </w:r>
            <w:r>
              <w:t xml:space="preserve">the investigation of </w:t>
            </w:r>
            <w:r>
              <w:t xml:space="preserve">a complaint </w:t>
            </w:r>
            <w:r>
              <w:t xml:space="preserve">relating to the </w:t>
            </w:r>
            <w:r>
              <w:t xml:space="preserve">Medical Practice Act </w:t>
            </w:r>
            <w:r>
              <w:t>is issued</w:t>
            </w:r>
            <w:r>
              <w:t xml:space="preserve">, to remove from </w:t>
            </w:r>
            <w:r>
              <w:t xml:space="preserve">the profile of </w:t>
            </w:r>
            <w:r>
              <w:t>the physician</w:t>
            </w:r>
            <w:r>
              <w:t xml:space="preserve"> subject to the plan any information regarding the plan and the complaint resolved by the plan unless the complaint was related to the delivery of health care or </w:t>
            </w:r>
            <w:r>
              <w:t xml:space="preserve">unless </w:t>
            </w:r>
            <w:r>
              <w:t>more than one remedial plan has been issued to resolve complaints alleging</w:t>
            </w:r>
            <w:r>
              <w:t xml:space="preserve"> the same violation by the physician, including a complaint not related to the delivery of health care</w:t>
            </w:r>
            <w:r>
              <w:t xml:space="preserve">; </w:t>
            </w:r>
          </w:p>
          <w:p w:rsidR="00FF2DDE" w:rsidRDefault="006870FA" w:rsidP="00133BB0">
            <w:pPr>
              <w:pStyle w:val="Header"/>
              <w:numPr>
                <w:ilvl w:val="0"/>
                <w:numId w:val="2"/>
              </w:numPr>
              <w:tabs>
                <w:tab w:val="clear" w:pos="4320"/>
                <w:tab w:val="clear" w:pos="8640"/>
              </w:tabs>
              <w:spacing w:before="120" w:after="120"/>
              <w:jc w:val="both"/>
            </w:pPr>
            <w:r>
              <w:t>provid</w:t>
            </w:r>
            <w:r>
              <w:t>e</w:t>
            </w:r>
            <w:r>
              <w:t>s</w:t>
            </w:r>
            <w:r>
              <w:t xml:space="preserve"> for certain complaint </w:t>
            </w:r>
            <w:r>
              <w:t xml:space="preserve">and investigation </w:t>
            </w:r>
            <w:r>
              <w:t>information to be removed from a physician's profile within 10 working days</w:t>
            </w:r>
            <w:r>
              <w:t xml:space="preserve"> if the complaint was dismi</w:t>
            </w:r>
            <w:r>
              <w:t>ssed or no adverse action was taken against the physician as a result of the complaint or the findings of the investigation</w:t>
            </w:r>
            <w:r>
              <w:t>; and</w:t>
            </w:r>
          </w:p>
          <w:p w:rsidR="00E7618B" w:rsidRDefault="006870FA" w:rsidP="00133BB0">
            <w:pPr>
              <w:pStyle w:val="Header"/>
              <w:numPr>
                <w:ilvl w:val="0"/>
                <w:numId w:val="2"/>
              </w:numPr>
              <w:tabs>
                <w:tab w:val="clear" w:pos="4320"/>
                <w:tab w:val="clear" w:pos="8640"/>
              </w:tabs>
              <w:spacing w:before="120" w:after="120"/>
              <w:jc w:val="both"/>
            </w:pPr>
            <w:r>
              <w:t>require</w:t>
            </w:r>
            <w:r>
              <w:t>s</w:t>
            </w:r>
            <w:r>
              <w:t xml:space="preserve"> the TMB to remove </w:t>
            </w:r>
            <w:r>
              <w:t>from the physician's profile</w:t>
            </w:r>
            <w:r>
              <w:t xml:space="preserve"> a formal complaint and any prior disciplinary action concerning the com</w:t>
            </w:r>
            <w:r>
              <w:t xml:space="preserve">plaint </w:t>
            </w:r>
            <w:r>
              <w:t xml:space="preserve">and </w:t>
            </w:r>
            <w:r>
              <w:t xml:space="preserve">to </w:t>
            </w:r>
            <w:r>
              <w:t xml:space="preserve">update the profile to contain </w:t>
            </w:r>
            <w:r>
              <w:t xml:space="preserve">the TMB's final order </w:t>
            </w:r>
            <w:r>
              <w:t xml:space="preserve">dismissing or resolving the complaint </w:t>
            </w:r>
            <w:r>
              <w:t>within 10 working days of issuing the order.</w:t>
            </w:r>
          </w:p>
          <w:p w:rsidR="008E43E7" w:rsidRPr="001E68CC" w:rsidRDefault="006870FA" w:rsidP="00133BB0">
            <w:pPr>
              <w:pStyle w:val="Header"/>
              <w:tabs>
                <w:tab w:val="clear" w:pos="4320"/>
                <w:tab w:val="clear" w:pos="8640"/>
              </w:tabs>
              <w:jc w:val="both"/>
              <w:rPr>
                <w:sz w:val="22"/>
              </w:rPr>
            </w:pPr>
          </w:p>
          <w:p w:rsidR="008423E4" w:rsidRDefault="006870FA" w:rsidP="00133BB0">
            <w:pPr>
              <w:pStyle w:val="Header"/>
              <w:tabs>
                <w:tab w:val="clear" w:pos="4320"/>
                <w:tab w:val="clear" w:pos="8640"/>
              </w:tabs>
              <w:jc w:val="both"/>
            </w:pPr>
            <w:r>
              <w:t>C.S.H.B. 1504</w:t>
            </w:r>
            <w:r>
              <w:t xml:space="preserve"> </w:t>
            </w:r>
            <w:r>
              <w:t>changes</w:t>
            </w:r>
            <w:r>
              <w:t xml:space="preserve"> the condition under which the TMB is prohibited from issuing a remedial plan</w:t>
            </w:r>
            <w:r>
              <w:t xml:space="preserve"> against</w:t>
            </w:r>
            <w:r>
              <w:t xml:space="preserve"> a physician who previously entered into a remedial plan </w:t>
            </w:r>
            <w:r>
              <w:t xml:space="preserve">by specifying that </w:t>
            </w:r>
            <w:r>
              <w:t>the prohibition is triggered</w:t>
            </w:r>
            <w:r>
              <w:t xml:space="preserve"> instead</w:t>
            </w:r>
            <w:r>
              <w:t xml:space="preserve"> if the physician has entered into a remedial plan in the preceding five years.</w:t>
            </w:r>
            <w:r>
              <w:t xml:space="preserve"> The bill authorizes the T</w:t>
            </w:r>
            <w:r>
              <w:t>MB</w:t>
            </w:r>
            <w:r>
              <w:t>, for good cause, to extend a prelimi</w:t>
            </w:r>
            <w:r>
              <w:t>nary investigation into a complaint against a physician for not more than 15 days after the date required for completion.</w:t>
            </w:r>
            <w:r>
              <w:t xml:space="preserve"> </w:t>
            </w:r>
          </w:p>
          <w:p w:rsidR="00C37BF5" w:rsidRPr="001E68CC" w:rsidRDefault="006870FA" w:rsidP="00133BB0">
            <w:pPr>
              <w:pStyle w:val="Header"/>
              <w:tabs>
                <w:tab w:val="clear" w:pos="4320"/>
                <w:tab w:val="clear" w:pos="8640"/>
              </w:tabs>
              <w:jc w:val="both"/>
              <w:rPr>
                <w:sz w:val="22"/>
              </w:rPr>
            </w:pPr>
          </w:p>
          <w:p w:rsidR="008D615A" w:rsidRDefault="006870FA" w:rsidP="00133BB0">
            <w:pPr>
              <w:pStyle w:val="Header"/>
              <w:tabs>
                <w:tab w:val="clear" w:pos="4320"/>
                <w:tab w:val="clear" w:pos="8640"/>
              </w:tabs>
              <w:jc w:val="both"/>
            </w:pPr>
            <w:r>
              <w:t>C.S.H.B.</w:t>
            </w:r>
            <w:r>
              <w:t xml:space="preserve"> 1504</w:t>
            </w:r>
            <w:r>
              <w:t xml:space="preserve"> </w:t>
            </w:r>
            <w:r>
              <w:t>clarifies that the</w:t>
            </w:r>
            <w:r>
              <w:t xml:space="preserve"> authority of the TMB to conduct inspections of a physician's practice that relate to the provision </w:t>
            </w:r>
            <w:r>
              <w:t>of anesthesia in an outpatient setting as necessary to regulate the administration of anesthesia in such a setting applies with respect to the physician's equipment and office procedures</w:t>
            </w:r>
            <w:r>
              <w:t xml:space="preserve"> and </w:t>
            </w:r>
            <w:r>
              <w:t xml:space="preserve">authorizes the TMB to establish a risk-based approach to </w:t>
            </w:r>
            <w:r>
              <w:t xml:space="preserve">those </w:t>
            </w:r>
            <w:r>
              <w:t>inspection</w:t>
            </w:r>
            <w:r>
              <w:t>s</w:t>
            </w:r>
            <w:r>
              <w:t>.</w:t>
            </w:r>
            <w:r>
              <w:t xml:space="preserve"> </w:t>
            </w:r>
            <w:r>
              <w:t xml:space="preserve">The bill </w:t>
            </w:r>
            <w:r>
              <w:t xml:space="preserve">requires </w:t>
            </w:r>
            <w:r>
              <w:t>the TMB to maintain a record of the outpatient settings in which physicians provide anesthesia and requires a physician who provides anesthesia in such a setting to inform the TMB of any other physician with whom the physicia</w:t>
            </w:r>
            <w:r>
              <w:t>n shares equipment used to administer anesthesia.</w:t>
            </w:r>
            <w:r w:rsidRPr="006E47CC">
              <w:t xml:space="preserve"> </w:t>
            </w:r>
          </w:p>
          <w:p w:rsidR="00124C9F" w:rsidRDefault="006870FA" w:rsidP="00133BB0">
            <w:pPr>
              <w:pStyle w:val="Header"/>
              <w:tabs>
                <w:tab w:val="clear" w:pos="4320"/>
                <w:tab w:val="clear" w:pos="8640"/>
              </w:tabs>
              <w:jc w:val="both"/>
            </w:pPr>
          </w:p>
          <w:p w:rsidR="00124C9F" w:rsidRDefault="006870FA" w:rsidP="00133BB0">
            <w:pPr>
              <w:pStyle w:val="Header"/>
              <w:jc w:val="both"/>
            </w:pPr>
            <w:r>
              <w:t xml:space="preserve">C.S.H.B. 1504 requires </w:t>
            </w:r>
            <w:r>
              <w:t xml:space="preserve">the </w:t>
            </w:r>
            <w:r>
              <w:t>TMB rules providing procedures governing informa</w:t>
            </w:r>
            <w:r>
              <w:t>l</w:t>
            </w:r>
            <w:r>
              <w:t xml:space="preserve"> disposition of a contested disciplinary case </w:t>
            </w:r>
            <w:r>
              <w:t xml:space="preserve">against a physician </w:t>
            </w:r>
            <w:r>
              <w:t xml:space="preserve">and related </w:t>
            </w:r>
            <w:r>
              <w:t>informa</w:t>
            </w:r>
            <w:r>
              <w:t>l</w:t>
            </w:r>
            <w:r>
              <w:t xml:space="preserve"> proceedings to require that the </w:t>
            </w:r>
            <w:r>
              <w:t xml:space="preserve">panel conducting </w:t>
            </w:r>
            <w:r>
              <w:t>the</w:t>
            </w:r>
            <w:r>
              <w:t xml:space="preserve"> informal </w:t>
            </w:r>
            <w:r>
              <w:t>proceeding</w:t>
            </w:r>
            <w:r>
              <w:t>, if the complaint</w:t>
            </w:r>
            <w:r>
              <w:t xml:space="preserve"> </w:t>
            </w:r>
            <w:r>
              <w:t xml:space="preserve">includes an </w:t>
            </w:r>
            <w:r>
              <w:t>allegation that the</w:t>
            </w:r>
            <w:r>
              <w:t xml:space="preserve"> </w:t>
            </w:r>
            <w:r>
              <w:t>physician</w:t>
            </w:r>
            <w:r>
              <w:t xml:space="preserve"> has violated the standard of care, consider whether the physician was practicing complem</w:t>
            </w:r>
            <w:r>
              <w:t>entary and alternative medicine.</w:t>
            </w:r>
            <w:r>
              <w:t xml:space="preserve"> </w:t>
            </w:r>
            <w:r w:rsidRPr="00CB6498">
              <w:t>The bill requires the TMB, not lat</w:t>
            </w:r>
            <w:r w:rsidRPr="00CB6498">
              <w:t xml:space="preserve">er than </w:t>
            </w:r>
            <w:r>
              <w:t>March</w:t>
            </w:r>
            <w:r w:rsidRPr="00CB6498">
              <w:t xml:space="preserve"> </w:t>
            </w:r>
            <w:r w:rsidRPr="00CB6498">
              <w:t>1, 2020, to adopt rules necessary</w:t>
            </w:r>
            <w:r>
              <w:t xml:space="preserve"> to implement </w:t>
            </w:r>
            <w:r>
              <w:t xml:space="preserve">that </w:t>
            </w:r>
            <w:r>
              <w:t>requirement</w:t>
            </w:r>
            <w:r>
              <w:t xml:space="preserve"> and</w:t>
            </w:r>
            <w:r>
              <w:t xml:space="preserve"> requires the TMB</w:t>
            </w:r>
            <w:r>
              <w:t xml:space="preserve"> to redact any identifying information of an expert physician reviewer, other than the specialty of the reviewer, before providing the physician with a report</w:t>
            </w:r>
            <w:r>
              <w:t xml:space="preserve"> prepared by </w:t>
            </w:r>
            <w:r>
              <w:t>each</w:t>
            </w:r>
            <w:r>
              <w:t xml:space="preserve"> reviewer as part of the notice of the board's meeting regarding the contest</w:t>
            </w:r>
            <w:r>
              <w:t>ed</w:t>
            </w:r>
            <w:r>
              <w:t xml:space="preserve"> case against the physician.</w:t>
            </w:r>
            <w:r>
              <w:t xml:space="preserve"> </w:t>
            </w:r>
          </w:p>
          <w:p w:rsidR="00495455" w:rsidRDefault="006870FA" w:rsidP="00133BB0">
            <w:pPr>
              <w:pStyle w:val="Header"/>
              <w:jc w:val="both"/>
            </w:pPr>
          </w:p>
          <w:p w:rsidR="00495455" w:rsidRDefault="006870FA" w:rsidP="00133BB0">
            <w:pPr>
              <w:pStyle w:val="Header"/>
              <w:jc w:val="both"/>
            </w:pPr>
            <w:r>
              <w:t xml:space="preserve">C.S.H.B. 1504 removes </w:t>
            </w:r>
            <w:r>
              <w:t xml:space="preserve">the requirement that </w:t>
            </w:r>
            <w:r>
              <w:t xml:space="preserve">a formal complaint </w:t>
            </w:r>
            <w:r>
              <w:t>by</w:t>
            </w:r>
            <w:r>
              <w:t xml:space="preserve"> the TMB initiating charges against a physician or other person un</w:t>
            </w:r>
            <w:r>
              <w:t xml:space="preserve">der TMB jurisdiction </w:t>
            </w:r>
            <w:r>
              <w:t xml:space="preserve">be in the form of a written affidavit. The bill requires notice of </w:t>
            </w:r>
            <w:r>
              <w:t xml:space="preserve">a hearing on such charges held by the </w:t>
            </w:r>
            <w:r>
              <w:t xml:space="preserve">State Office of Administrative Hearings be sent by certified mail. </w:t>
            </w:r>
            <w:r>
              <w:t xml:space="preserve">The bill </w:t>
            </w:r>
            <w:r>
              <w:t>sets out provisions governing the judicial review of t</w:t>
            </w:r>
            <w:r>
              <w:t>he fin</w:t>
            </w:r>
            <w:r>
              <w:t>d</w:t>
            </w:r>
            <w:r>
              <w:t xml:space="preserve">ings of fact and conclusions of law received from the administrative law judge in a contested case. </w:t>
            </w:r>
            <w:r>
              <w:t xml:space="preserve">The bill </w:t>
            </w:r>
            <w:r>
              <w:t>authorizes the T</w:t>
            </w:r>
            <w:r>
              <w:t>MB</w:t>
            </w:r>
            <w:r>
              <w:t xml:space="preserve"> to obtain </w:t>
            </w:r>
            <w:r>
              <w:t>the</w:t>
            </w:r>
            <w:r>
              <w:t xml:space="preserve"> judicial review</w:t>
            </w:r>
            <w:r>
              <w:t>,</w:t>
            </w:r>
            <w:r>
              <w:t xml:space="preserve"> before disposing of the case by issuing a final order</w:t>
            </w:r>
            <w:r>
              <w:t>,</w:t>
            </w:r>
            <w:r>
              <w:t xml:space="preserve"> </w:t>
            </w:r>
            <w:r>
              <w:t>by</w:t>
            </w:r>
            <w:r>
              <w:t xml:space="preserve"> filing a </w:t>
            </w:r>
            <w:r>
              <w:t xml:space="preserve">suit </w:t>
            </w:r>
            <w:r>
              <w:t>in a Travis County</w:t>
            </w:r>
            <w:r>
              <w:t xml:space="preserve"> district court</w:t>
            </w:r>
            <w:r>
              <w:t xml:space="preserve"> not later than the 30th day after the date the find</w:t>
            </w:r>
            <w:r>
              <w:t>ing</w:t>
            </w:r>
            <w:r>
              <w:t>s and conclusions are issued</w:t>
            </w:r>
            <w:r>
              <w:t>.</w:t>
            </w:r>
            <w:r>
              <w:t xml:space="preserve"> </w:t>
            </w:r>
            <w:r>
              <w:t>The bill</w:t>
            </w:r>
            <w:r>
              <w:t xml:space="preserve"> requires the </w:t>
            </w:r>
            <w:r>
              <w:t>TMB</w:t>
            </w:r>
            <w:r>
              <w:t xml:space="preserve"> to </w:t>
            </w:r>
            <w:r w:rsidRPr="004F4F51">
              <w:t xml:space="preserve">join in </w:t>
            </w:r>
            <w:r>
              <w:t>the</w:t>
            </w:r>
            <w:r w:rsidRPr="004F4F51">
              <w:t xml:space="preserve"> suit </w:t>
            </w:r>
            <w:r>
              <w:t xml:space="preserve">of </w:t>
            </w:r>
            <w:r w:rsidRPr="004F4F51">
              <w:t xml:space="preserve">the respondent in the contested case for which the </w:t>
            </w:r>
            <w:r>
              <w:t>TMB</w:t>
            </w:r>
            <w:r w:rsidRPr="004F4F51">
              <w:t xml:space="preserve"> seeks to obtain judicial review</w:t>
            </w:r>
            <w:r>
              <w:t xml:space="preserve"> and</w:t>
            </w:r>
            <w:r>
              <w:t xml:space="preserve"> provides for the</w:t>
            </w:r>
            <w:r>
              <w:t xml:space="preserve"> scope of the review</w:t>
            </w:r>
            <w:r>
              <w:t>.</w:t>
            </w:r>
            <w:r>
              <w:t xml:space="preserve"> </w:t>
            </w:r>
            <w:r>
              <w:t>The</w:t>
            </w:r>
            <w:r>
              <w:t xml:space="preserve"> </w:t>
            </w:r>
            <w:r>
              <w:t xml:space="preserve">bill </w:t>
            </w:r>
            <w:r>
              <w:t>requires the T</w:t>
            </w:r>
            <w:r>
              <w:t>MB</w:t>
            </w:r>
            <w:r>
              <w:t xml:space="preserve">, after the court issues a final order in the suit, to dispose of the </w:t>
            </w:r>
            <w:r w:rsidRPr="004F4F51">
              <w:t>contested case by issuing a final order based on the</w:t>
            </w:r>
            <w:r>
              <w:t xml:space="preserve"> court's final</w:t>
            </w:r>
            <w:r w:rsidRPr="004F4F51">
              <w:t xml:space="preserve"> order. The respondent may not appeal a sanction ordered by the </w:t>
            </w:r>
            <w:r>
              <w:t>TMB</w:t>
            </w:r>
            <w:r w:rsidRPr="004F4F51">
              <w:t xml:space="preserve"> unles</w:t>
            </w:r>
            <w:r w:rsidRPr="004F4F51">
              <w:t>s the sanction exceeds sanctions guidelines</w:t>
            </w:r>
            <w:r>
              <w:t xml:space="preserve"> published by the TMB</w:t>
            </w:r>
            <w:r w:rsidRPr="004F4F51">
              <w:t>.</w:t>
            </w:r>
          </w:p>
          <w:p w:rsidR="00DB3CF7" w:rsidRPr="001E68CC" w:rsidRDefault="006870FA" w:rsidP="00133BB0">
            <w:pPr>
              <w:pStyle w:val="Header"/>
              <w:jc w:val="both"/>
              <w:rPr>
                <w:sz w:val="22"/>
              </w:rPr>
            </w:pPr>
          </w:p>
          <w:p w:rsidR="000620C6" w:rsidRDefault="006870FA" w:rsidP="00133BB0">
            <w:pPr>
              <w:pStyle w:val="Header"/>
              <w:jc w:val="both"/>
            </w:pPr>
            <w:r>
              <w:t xml:space="preserve">C.S.H.B. 1504 provides for an expedited licensing process for certain out-of-state applicants for a </w:t>
            </w:r>
            <w:r w:rsidRPr="00A1003C">
              <w:t>physician</w:t>
            </w:r>
            <w:r>
              <w:t>'s license and requires the TMB by rule to develop and implement an expedited li</w:t>
            </w:r>
            <w:r>
              <w:t>censing process for an applicant who is considered to have satisfied the examination requirements established under the bill's provisions.</w:t>
            </w:r>
          </w:p>
          <w:p w:rsidR="000620C6" w:rsidRPr="001E68CC" w:rsidRDefault="006870FA" w:rsidP="00133BB0">
            <w:pPr>
              <w:pStyle w:val="Header"/>
              <w:jc w:val="both"/>
              <w:rPr>
                <w:sz w:val="22"/>
              </w:rPr>
            </w:pPr>
          </w:p>
          <w:p w:rsidR="00BB2634" w:rsidRDefault="006870FA" w:rsidP="00133BB0">
            <w:pPr>
              <w:pStyle w:val="Header"/>
              <w:jc w:val="both"/>
            </w:pPr>
            <w:r>
              <w:t>C.S.H.B.</w:t>
            </w:r>
            <w:r>
              <w:t xml:space="preserve"> 1504 requires the governing board of the Texas P</w:t>
            </w:r>
            <w:r>
              <w:t xml:space="preserve">hysician Health </w:t>
            </w:r>
            <w:r>
              <w:t>Program</w:t>
            </w:r>
            <w:r>
              <w:t xml:space="preserve"> to enter into a memorandum of under</w:t>
            </w:r>
            <w:r>
              <w:t>standing with the TMB for purposes of better coordinating services and operations of the program</w:t>
            </w:r>
            <w:r>
              <w:t>.</w:t>
            </w:r>
            <w:r>
              <w:t xml:space="preserve"> The bill requires </w:t>
            </w:r>
            <w:r>
              <w:t xml:space="preserve">the governing board and the TMB to adopt the memorandum by rule not later than January 1, 2020, </w:t>
            </w:r>
            <w:r>
              <w:t xml:space="preserve">and </w:t>
            </w:r>
            <w:r>
              <w:t xml:space="preserve">requires </w:t>
            </w:r>
            <w:r>
              <w:t>the memorandum</w:t>
            </w:r>
            <w:r>
              <w:t xml:space="preserve"> to establish cer</w:t>
            </w:r>
            <w:r>
              <w:t>tain performance measures, include a list of program services, and require an internal program audit with a specified frequency</w:t>
            </w:r>
            <w:r>
              <w:t>. The bill</w:t>
            </w:r>
            <w:r>
              <w:t xml:space="preserve"> </w:t>
            </w:r>
            <w:r>
              <w:t>authorizes</w:t>
            </w:r>
            <w:r>
              <w:t xml:space="preserve"> the governing board to accept gifts, grants, donations</w:t>
            </w:r>
            <w:r>
              <w:t>, and any other thing of value from any source</w:t>
            </w:r>
            <w:r>
              <w:t xml:space="preserve"> for </w:t>
            </w:r>
            <w:r>
              <w:t>the program in addition to fees paid to the governing board or money appropriated to the governing board for the program</w:t>
            </w:r>
            <w:r>
              <w:t>.</w:t>
            </w:r>
          </w:p>
          <w:p w:rsidR="00BB2634" w:rsidRPr="001E68CC" w:rsidRDefault="006870FA" w:rsidP="00133BB0">
            <w:pPr>
              <w:pStyle w:val="Header"/>
              <w:jc w:val="both"/>
              <w:rPr>
                <w:sz w:val="22"/>
              </w:rPr>
            </w:pPr>
          </w:p>
          <w:p w:rsidR="00E46243" w:rsidRDefault="006870FA" w:rsidP="00133BB0">
            <w:pPr>
              <w:pStyle w:val="Header"/>
              <w:jc w:val="both"/>
            </w:pPr>
            <w:r>
              <w:t>C.S.H.B.</w:t>
            </w:r>
            <w:r>
              <w:t xml:space="preserve"> 1504</w:t>
            </w:r>
            <w:r>
              <w:t xml:space="preserve"> </w:t>
            </w:r>
            <w:r>
              <w:t xml:space="preserve">requires </w:t>
            </w:r>
            <w:r>
              <w:t>the Texas State Board of Acupuncture Examiners (</w:t>
            </w:r>
            <w:r>
              <w:t>TSBAE</w:t>
            </w:r>
            <w:r>
              <w:t>)</w:t>
            </w:r>
            <w:r>
              <w:t xml:space="preserve"> </w:t>
            </w:r>
            <w:r>
              <w:t xml:space="preserve">and the TMB </w:t>
            </w:r>
            <w:r>
              <w:t>to require</w:t>
            </w:r>
            <w:r>
              <w:t>, respectively,</w:t>
            </w:r>
            <w:r>
              <w:t xml:space="preserve"> an applicant for </w:t>
            </w:r>
            <w:r>
              <w:t>a</w:t>
            </w:r>
            <w:r>
              <w:t xml:space="preserve">n </w:t>
            </w:r>
            <w:r>
              <w:t xml:space="preserve">original or renewed </w:t>
            </w:r>
            <w:r>
              <w:t>acupuncture</w:t>
            </w:r>
            <w:r>
              <w:t xml:space="preserve"> license </w:t>
            </w:r>
            <w:r>
              <w:t>and</w:t>
            </w:r>
            <w:r>
              <w:t xml:space="preserve"> </w:t>
            </w:r>
            <w:r>
              <w:t xml:space="preserve">an applicant </w:t>
            </w:r>
            <w:r>
              <w:t xml:space="preserve">for an original or renewed </w:t>
            </w:r>
            <w:r>
              <w:t>surgical assistant license</w:t>
            </w:r>
            <w:r>
              <w:t xml:space="preserve"> </w:t>
            </w:r>
            <w:r>
              <w:t xml:space="preserve">to </w:t>
            </w:r>
            <w:r>
              <w:t>submit a complete and legible set of fingerprints to</w:t>
            </w:r>
            <w:r>
              <w:t xml:space="preserve"> the respective board, on a form prescribed by the respective board,</w:t>
            </w:r>
            <w:r>
              <w:t xml:space="preserve"> or to the Departme</w:t>
            </w:r>
            <w:r>
              <w:t>nt of Public Safety</w:t>
            </w:r>
            <w:r>
              <w:t xml:space="preserve"> (DPS)</w:t>
            </w:r>
            <w:r>
              <w:t xml:space="preserve"> for the purpose of obtaining criminal history record information from DPS and the </w:t>
            </w:r>
            <w:r>
              <w:t>FBI</w:t>
            </w:r>
            <w:r>
              <w:t xml:space="preserve"> and sets out </w:t>
            </w:r>
            <w:r>
              <w:t xml:space="preserve">additional </w:t>
            </w:r>
            <w:r>
              <w:t>provisions</w:t>
            </w:r>
            <w:r>
              <w:t xml:space="preserve"> related to the requirements</w:t>
            </w:r>
            <w:r>
              <w:t xml:space="preserve">. </w:t>
            </w:r>
            <w:r>
              <w:t xml:space="preserve">The bill requires </w:t>
            </w:r>
            <w:r>
              <w:t xml:space="preserve">the </w:t>
            </w:r>
            <w:r>
              <w:t>TSBAE and the TMB, not later than September 1, 2021, to ob</w:t>
            </w:r>
            <w:r>
              <w:t xml:space="preserve">tain criminal history record information on each person who, on the bill's effective date, holds an applicable license and did not undergo the required check based on the license holder's fingerprints on the initial application </w:t>
            </w:r>
            <w:r>
              <w:t xml:space="preserve">for </w:t>
            </w:r>
            <w:r>
              <w:t>the license and authoriz</w:t>
            </w:r>
            <w:r>
              <w:t xml:space="preserve">es </w:t>
            </w:r>
            <w:r>
              <w:t xml:space="preserve">the </w:t>
            </w:r>
            <w:r>
              <w:t xml:space="preserve">TSBAE and the TMB to suspend the license of a license holder who does not provide the required information. </w:t>
            </w:r>
            <w:r>
              <w:t xml:space="preserve">The bill removes as an eligibility requirement for a surgical assistant license that the person be of good moral character. </w:t>
            </w:r>
          </w:p>
          <w:p w:rsidR="00922844" w:rsidRPr="001E68CC" w:rsidRDefault="006870FA" w:rsidP="00133BB0">
            <w:pPr>
              <w:pStyle w:val="Header"/>
              <w:jc w:val="both"/>
              <w:rPr>
                <w:sz w:val="22"/>
                <w:u w:val="single"/>
              </w:rPr>
            </w:pPr>
          </w:p>
          <w:p w:rsidR="00CB19DB" w:rsidRDefault="006870FA" w:rsidP="00133BB0">
            <w:pPr>
              <w:pStyle w:val="Header"/>
              <w:jc w:val="both"/>
            </w:pPr>
            <w:r>
              <w:t>C.S.H.B.</w:t>
            </w:r>
            <w:r>
              <w:t xml:space="preserve"> 1504 e</w:t>
            </w:r>
            <w:r>
              <w:t xml:space="preserve">stablishes </w:t>
            </w:r>
            <w:r>
              <w:t>a</w:t>
            </w:r>
            <w:r w:rsidRPr="00A776E6">
              <w:t xml:space="preserve"> radiologist assistant </w:t>
            </w:r>
            <w:r>
              <w:t>certificate</w:t>
            </w:r>
            <w:r>
              <w:t>,</w:t>
            </w:r>
            <w:r>
              <w:t xml:space="preserve"> require</w:t>
            </w:r>
            <w:r>
              <w:t>s</w:t>
            </w:r>
            <w:r>
              <w:t xml:space="preserve"> </w:t>
            </w:r>
            <w:r>
              <w:t xml:space="preserve">the </w:t>
            </w:r>
            <w:r w:rsidRPr="0076272C">
              <w:t>Texas Board of Medical Radiologic Technology</w:t>
            </w:r>
            <w:r>
              <w:t xml:space="preserve"> by rule </w:t>
            </w:r>
            <w:r>
              <w:t xml:space="preserve">to </w:t>
            </w:r>
            <w:r>
              <w:t>establish the education and training required for a person to obtain the certificate, and</w:t>
            </w:r>
            <w:r>
              <w:t xml:space="preserve"> requires </w:t>
            </w:r>
            <w:r>
              <w:t xml:space="preserve">the </w:t>
            </w:r>
            <w:r>
              <w:t>TMB</w:t>
            </w:r>
            <w:r>
              <w:t xml:space="preserve"> to approve those rules</w:t>
            </w:r>
            <w:r>
              <w:t xml:space="preserve"> not later than January 1, 2020</w:t>
            </w:r>
            <w:r>
              <w:t xml:space="preserve">. The bill sets out provisions relating to the </w:t>
            </w:r>
            <w:r>
              <w:t>certificate</w:t>
            </w:r>
            <w:r>
              <w:t xml:space="preserve"> and provides for the issuance of a temporary certificate</w:t>
            </w:r>
            <w:r>
              <w:t>.</w:t>
            </w:r>
          </w:p>
          <w:p w:rsidR="00CB19DB" w:rsidRPr="001E68CC" w:rsidRDefault="006870FA" w:rsidP="00133BB0">
            <w:pPr>
              <w:pStyle w:val="Header"/>
              <w:jc w:val="both"/>
              <w:rPr>
                <w:sz w:val="22"/>
              </w:rPr>
            </w:pPr>
          </w:p>
          <w:p w:rsidR="00C93240" w:rsidRDefault="006870FA" w:rsidP="00133BB0">
            <w:pPr>
              <w:pStyle w:val="Header"/>
              <w:jc w:val="both"/>
            </w:pPr>
            <w:r>
              <w:t xml:space="preserve">C.S.H.B. 1504 repeals </w:t>
            </w:r>
            <w:r w:rsidRPr="00CB19DB">
              <w:t>Sections 155.056(c) and (d), Occupations Code</w:t>
            </w:r>
            <w:r>
              <w:t>.</w:t>
            </w:r>
          </w:p>
          <w:p w:rsidR="008423E4" w:rsidRPr="001E68CC" w:rsidRDefault="006870FA" w:rsidP="00133BB0">
            <w:pPr>
              <w:rPr>
                <w:b/>
                <w:sz w:val="22"/>
              </w:rPr>
            </w:pPr>
          </w:p>
        </w:tc>
      </w:tr>
      <w:tr w:rsidR="00757449" w:rsidTr="00345119">
        <w:tc>
          <w:tcPr>
            <w:tcW w:w="9576" w:type="dxa"/>
          </w:tcPr>
          <w:p w:rsidR="008423E4" w:rsidRPr="00A8133F" w:rsidRDefault="006870FA" w:rsidP="00133BB0">
            <w:pPr>
              <w:rPr>
                <w:b/>
              </w:rPr>
            </w:pPr>
            <w:r w:rsidRPr="009C1E9A">
              <w:rPr>
                <w:b/>
                <w:u w:val="single"/>
              </w:rPr>
              <w:t>EFFECTIVE DATE</w:t>
            </w:r>
            <w:r>
              <w:rPr>
                <w:b/>
              </w:rPr>
              <w:t xml:space="preserve"> </w:t>
            </w:r>
          </w:p>
          <w:p w:rsidR="008423E4" w:rsidRDefault="006870FA" w:rsidP="00133BB0">
            <w:pPr>
              <w:pStyle w:val="Header"/>
              <w:tabs>
                <w:tab w:val="clear" w:pos="4320"/>
                <w:tab w:val="clear" w:pos="8640"/>
              </w:tabs>
              <w:jc w:val="both"/>
            </w:pPr>
            <w:r>
              <w:t>September 1, 2019.</w:t>
            </w:r>
          </w:p>
          <w:p w:rsidR="00133BB0" w:rsidRPr="001E68CC" w:rsidRDefault="006870FA" w:rsidP="00133BB0">
            <w:pPr>
              <w:pStyle w:val="Header"/>
              <w:tabs>
                <w:tab w:val="clear" w:pos="4320"/>
                <w:tab w:val="clear" w:pos="8640"/>
              </w:tabs>
              <w:jc w:val="both"/>
              <w:rPr>
                <w:sz w:val="22"/>
              </w:rPr>
            </w:pPr>
          </w:p>
        </w:tc>
      </w:tr>
      <w:tr w:rsidR="00757449" w:rsidTr="00345119">
        <w:tc>
          <w:tcPr>
            <w:tcW w:w="9576" w:type="dxa"/>
          </w:tcPr>
          <w:p w:rsidR="00E73E33" w:rsidRDefault="006870FA" w:rsidP="00E73E33">
            <w:pPr>
              <w:jc w:val="both"/>
              <w:rPr>
                <w:b/>
                <w:u w:val="single"/>
              </w:rPr>
            </w:pPr>
            <w:r>
              <w:rPr>
                <w:b/>
                <w:u w:val="single"/>
              </w:rPr>
              <w:t>COMPARISON OF ORIGINAL AND SUBSTITUTE</w:t>
            </w:r>
          </w:p>
          <w:p w:rsidR="00AD19C7" w:rsidRDefault="006870FA" w:rsidP="00E73E33">
            <w:pPr>
              <w:jc w:val="both"/>
              <w:rPr>
                <w:b/>
                <w:u w:val="single"/>
              </w:rPr>
            </w:pPr>
          </w:p>
          <w:p w:rsidR="00DE5312" w:rsidRDefault="006870FA" w:rsidP="00DE5312">
            <w:pPr>
              <w:jc w:val="both"/>
            </w:pPr>
            <w:r>
              <w:t>While C.S.H.B. 1504 may differ from the original in minor or nonsubstantive ways, the following summarizes the substantial differences between the introduced and committee substitute versions of the bill.</w:t>
            </w:r>
          </w:p>
          <w:p w:rsidR="00DE5312" w:rsidRDefault="006870FA" w:rsidP="00DE5312">
            <w:pPr>
              <w:jc w:val="both"/>
            </w:pPr>
          </w:p>
          <w:p w:rsidR="00DE5312" w:rsidRDefault="006870FA" w:rsidP="00DE5312">
            <w:pPr>
              <w:jc w:val="both"/>
            </w:pPr>
            <w:r>
              <w:t>The substitute includes provisions clarifying the process for the TMB to obtain judicial review of an administrative law judge's findings of fact and conclusions of law.</w:t>
            </w:r>
          </w:p>
          <w:p w:rsidR="00DE5312" w:rsidRDefault="006870FA" w:rsidP="00DE5312">
            <w:pPr>
              <w:jc w:val="both"/>
            </w:pPr>
          </w:p>
          <w:p w:rsidR="00DE5312" w:rsidRDefault="006870FA" w:rsidP="00DE5312">
            <w:pPr>
              <w:jc w:val="both"/>
            </w:pPr>
            <w:r>
              <w:t>The substitute includes a provision authorizing the TMB, for good cause, to take an a</w:t>
            </w:r>
            <w:r>
              <w:t>dditional 15 days to complete a preliminary investigation into a complaint against a physician.</w:t>
            </w:r>
          </w:p>
          <w:p w:rsidR="00DE5312" w:rsidRDefault="006870FA" w:rsidP="00DE5312">
            <w:pPr>
              <w:jc w:val="both"/>
            </w:pPr>
          </w:p>
          <w:p w:rsidR="00DE5312" w:rsidRPr="00E73E33" w:rsidRDefault="006870FA" w:rsidP="00DE5312">
            <w:pPr>
              <w:jc w:val="both"/>
              <w:rPr>
                <w:b/>
                <w:u w:val="single"/>
              </w:rPr>
            </w:pPr>
            <w:r>
              <w:t>The substitute revises provisions relating to the TMB physician profiles to provide for the removal of certain complaint-related and investigation-related info</w:t>
            </w:r>
            <w:r>
              <w:t>rmation from a physician's profile within a specified period if the complaint was dismissed or no adverse action was taken</w:t>
            </w:r>
            <w:r>
              <w:t xml:space="preserve"> </w:t>
            </w:r>
            <w:r w:rsidRPr="00E85A05">
              <w:t>and to provide for the updated profile to contain the applicable final order</w:t>
            </w:r>
            <w:r>
              <w:t>.</w:t>
            </w:r>
          </w:p>
        </w:tc>
      </w:tr>
    </w:tbl>
    <w:p w:rsidR="004108C3" w:rsidRPr="00F4445D" w:rsidRDefault="006870FA" w:rsidP="008423E4">
      <w:pPr>
        <w:rPr>
          <w:sz w:val="2"/>
          <w:szCs w:val="2"/>
        </w:rPr>
      </w:pPr>
    </w:p>
    <w:sectPr w:rsidR="004108C3" w:rsidRPr="00F4445D" w:rsidSect="00133B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70FA">
      <w:r>
        <w:separator/>
      </w:r>
    </w:p>
  </w:endnote>
  <w:endnote w:type="continuationSeparator" w:id="0">
    <w:p w:rsidR="00000000" w:rsidRDefault="0068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87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7449" w:rsidTr="009C1E9A">
      <w:trPr>
        <w:cantSplit/>
      </w:trPr>
      <w:tc>
        <w:tcPr>
          <w:tcW w:w="0" w:type="pct"/>
        </w:tcPr>
        <w:p w:rsidR="00137D90" w:rsidRDefault="006870FA" w:rsidP="009C1E9A">
          <w:pPr>
            <w:pStyle w:val="Footer"/>
            <w:tabs>
              <w:tab w:val="clear" w:pos="8640"/>
              <w:tab w:val="right" w:pos="9360"/>
            </w:tabs>
          </w:pPr>
        </w:p>
      </w:tc>
      <w:tc>
        <w:tcPr>
          <w:tcW w:w="2395" w:type="pct"/>
        </w:tcPr>
        <w:p w:rsidR="00137D90" w:rsidRDefault="006870FA" w:rsidP="009C1E9A">
          <w:pPr>
            <w:pStyle w:val="Footer"/>
            <w:tabs>
              <w:tab w:val="clear" w:pos="8640"/>
              <w:tab w:val="right" w:pos="9360"/>
            </w:tabs>
          </w:pPr>
        </w:p>
        <w:p w:rsidR="001A4310" w:rsidRDefault="006870FA" w:rsidP="009C1E9A">
          <w:pPr>
            <w:pStyle w:val="Footer"/>
            <w:tabs>
              <w:tab w:val="clear" w:pos="8640"/>
              <w:tab w:val="right" w:pos="9360"/>
            </w:tabs>
          </w:pPr>
        </w:p>
        <w:p w:rsidR="00137D90" w:rsidRDefault="006870FA" w:rsidP="009C1E9A">
          <w:pPr>
            <w:pStyle w:val="Footer"/>
            <w:tabs>
              <w:tab w:val="clear" w:pos="8640"/>
              <w:tab w:val="right" w:pos="9360"/>
            </w:tabs>
          </w:pPr>
        </w:p>
      </w:tc>
      <w:tc>
        <w:tcPr>
          <w:tcW w:w="2453" w:type="pct"/>
        </w:tcPr>
        <w:p w:rsidR="00137D90" w:rsidRDefault="006870FA" w:rsidP="009C1E9A">
          <w:pPr>
            <w:pStyle w:val="Footer"/>
            <w:tabs>
              <w:tab w:val="clear" w:pos="8640"/>
              <w:tab w:val="right" w:pos="9360"/>
            </w:tabs>
            <w:jc w:val="right"/>
          </w:pPr>
        </w:p>
      </w:tc>
    </w:tr>
    <w:tr w:rsidR="00757449" w:rsidTr="009C1E9A">
      <w:trPr>
        <w:cantSplit/>
      </w:trPr>
      <w:tc>
        <w:tcPr>
          <w:tcW w:w="0" w:type="pct"/>
        </w:tcPr>
        <w:p w:rsidR="00EC379B" w:rsidRDefault="006870FA" w:rsidP="009C1E9A">
          <w:pPr>
            <w:pStyle w:val="Footer"/>
            <w:tabs>
              <w:tab w:val="clear" w:pos="8640"/>
              <w:tab w:val="right" w:pos="9360"/>
            </w:tabs>
          </w:pPr>
        </w:p>
      </w:tc>
      <w:tc>
        <w:tcPr>
          <w:tcW w:w="2395" w:type="pct"/>
        </w:tcPr>
        <w:p w:rsidR="00EC379B" w:rsidRPr="009C1E9A" w:rsidRDefault="006870FA" w:rsidP="009C1E9A">
          <w:pPr>
            <w:pStyle w:val="Footer"/>
            <w:tabs>
              <w:tab w:val="clear" w:pos="8640"/>
              <w:tab w:val="right" w:pos="9360"/>
            </w:tabs>
            <w:rPr>
              <w:rFonts w:ascii="Shruti" w:hAnsi="Shruti"/>
              <w:sz w:val="22"/>
            </w:rPr>
          </w:pPr>
          <w:r>
            <w:rPr>
              <w:rFonts w:ascii="Shruti" w:hAnsi="Shruti"/>
              <w:sz w:val="22"/>
            </w:rPr>
            <w:t>86R 25905</w:t>
          </w:r>
        </w:p>
      </w:tc>
      <w:tc>
        <w:tcPr>
          <w:tcW w:w="2453" w:type="pct"/>
        </w:tcPr>
        <w:p w:rsidR="00EC379B" w:rsidRDefault="006870FA" w:rsidP="009C1E9A">
          <w:pPr>
            <w:pStyle w:val="Footer"/>
            <w:tabs>
              <w:tab w:val="clear" w:pos="8640"/>
              <w:tab w:val="right" w:pos="9360"/>
            </w:tabs>
            <w:jc w:val="right"/>
          </w:pPr>
          <w:r>
            <w:fldChar w:fldCharType="begin"/>
          </w:r>
          <w:r>
            <w:instrText xml:space="preserve"> DOCPROPERTY  OTID  \* MERGEFORMAT </w:instrText>
          </w:r>
          <w:r>
            <w:fldChar w:fldCharType="separate"/>
          </w:r>
          <w:r>
            <w:t>19.99.786</w:t>
          </w:r>
          <w:r>
            <w:fldChar w:fldCharType="end"/>
          </w:r>
        </w:p>
      </w:tc>
    </w:tr>
    <w:tr w:rsidR="00757449" w:rsidTr="009C1E9A">
      <w:trPr>
        <w:cantSplit/>
      </w:trPr>
      <w:tc>
        <w:tcPr>
          <w:tcW w:w="0" w:type="pct"/>
        </w:tcPr>
        <w:p w:rsidR="00EC379B" w:rsidRDefault="006870FA" w:rsidP="009C1E9A">
          <w:pPr>
            <w:pStyle w:val="Footer"/>
            <w:tabs>
              <w:tab w:val="clear" w:pos="4320"/>
              <w:tab w:val="clear" w:pos="8640"/>
              <w:tab w:val="left" w:pos="2865"/>
            </w:tabs>
          </w:pPr>
        </w:p>
      </w:tc>
      <w:tc>
        <w:tcPr>
          <w:tcW w:w="2395" w:type="pct"/>
        </w:tcPr>
        <w:p w:rsidR="00EC379B" w:rsidRPr="009C1E9A" w:rsidRDefault="006870FA" w:rsidP="009C1E9A">
          <w:pPr>
            <w:pStyle w:val="Footer"/>
            <w:tabs>
              <w:tab w:val="clear" w:pos="4320"/>
              <w:tab w:val="clear" w:pos="8640"/>
              <w:tab w:val="left" w:pos="2865"/>
            </w:tabs>
            <w:rPr>
              <w:rFonts w:ascii="Shruti" w:hAnsi="Shruti"/>
              <w:sz w:val="22"/>
            </w:rPr>
          </w:pPr>
          <w:r>
            <w:rPr>
              <w:rFonts w:ascii="Shruti" w:hAnsi="Shruti"/>
              <w:sz w:val="22"/>
            </w:rPr>
            <w:t>Substitute Document Number: 86R 21035</w:t>
          </w:r>
        </w:p>
      </w:tc>
      <w:tc>
        <w:tcPr>
          <w:tcW w:w="2453" w:type="pct"/>
        </w:tcPr>
        <w:p w:rsidR="00EC379B" w:rsidRDefault="006870FA" w:rsidP="006D504F">
          <w:pPr>
            <w:pStyle w:val="Footer"/>
            <w:rPr>
              <w:rStyle w:val="PageNumber"/>
            </w:rPr>
          </w:pPr>
        </w:p>
        <w:p w:rsidR="00EC379B" w:rsidRDefault="006870FA" w:rsidP="009C1E9A">
          <w:pPr>
            <w:pStyle w:val="Footer"/>
            <w:tabs>
              <w:tab w:val="clear" w:pos="8640"/>
              <w:tab w:val="right" w:pos="9360"/>
            </w:tabs>
            <w:jc w:val="right"/>
          </w:pPr>
        </w:p>
      </w:tc>
    </w:tr>
    <w:tr w:rsidR="00757449" w:rsidTr="009C1E9A">
      <w:trPr>
        <w:cantSplit/>
        <w:trHeight w:val="323"/>
      </w:trPr>
      <w:tc>
        <w:tcPr>
          <w:tcW w:w="0" w:type="pct"/>
          <w:gridSpan w:val="3"/>
        </w:tcPr>
        <w:p w:rsidR="00EC379B" w:rsidRDefault="006870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6870FA" w:rsidP="009C1E9A">
          <w:pPr>
            <w:pStyle w:val="Footer"/>
            <w:tabs>
              <w:tab w:val="clear" w:pos="8640"/>
              <w:tab w:val="right" w:pos="9360"/>
            </w:tabs>
            <w:jc w:val="center"/>
          </w:pPr>
        </w:p>
      </w:tc>
    </w:tr>
  </w:tbl>
  <w:p w:rsidR="00EC379B" w:rsidRPr="00FF6F72" w:rsidRDefault="006870F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8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70FA">
      <w:r>
        <w:separator/>
      </w:r>
    </w:p>
  </w:footnote>
  <w:footnote w:type="continuationSeparator" w:id="0">
    <w:p w:rsidR="00000000" w:rsidRDefault="0068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8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8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87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6A37"/>
    <w:multiLevelType w:val="hybridMultilevel"/>
    <w:tmpl w:val="FE7808EA"/>
    <w:lvl w:ilvl="0" w:tplc="66763B7C">
      <w:start w:val="1"/>
      <w:numFmt w:val="bullet"/>
      <w:lvlText w:val=""/>
      <w:lvlJc w:val="left"/>
      <w:pPr>
        <w:tabs>
          <w:tab w:val="num" w:pos="720"/>
        </w:tabs>
        <w:ind w:left="720" w:hanging="360"/>
      </w:pPr>
      <w:rPr>
        <w:rFonts w:ascii="Symbol" w:hAnsi="Symbol" w:hint="default"/>
      </w:rPr>
    </w:lvl>
    <w:lvl w:ilvl="1" w:tplc="94282A76" w:tentative="1">
      <w:start w:val="1"/>
      <w:numFmt w:val="bullet"/>
      <w:lvlText w:val="o"/>
      <w:lvlJc w:val="left"/>
      <w:pPr>
        <w:ind w:left="1440" w:hanging="360"/>
      </w:pPr>
      <w:rPr>
        <w:rFonts w:ascii="Courier New" w:hAnsi="Courier New" w:cs="Courier New" w:hint="default"/>
      </w:rPr>
    </w:lvl>
    <w:lvl w:ilvl="2" w:tplc="5ABE8B52" w:tentative="1">
      <w:start w:val="1"/>
      <w:numFmt w:val="bullet"/>
      <w:lvlText w:val=""/>
      <w:lvlJc w:val="left"/>
      <w:pPr>
        <w:ind w:left="2160" w:hanging="360"/>
      </w:pPr>
      <w:rPr>
        <w:rFonts w:ascii="Wingdings" w:hAnsi="Wingdings" w:hint="default"/>
      </w:rPr>
    </w:lvl>
    <w:lvl w:ilvl="3" w:tplc="2E469EF0" w:tentative="1">
      <w:start w:val="1"/>
      <w:numFmt w:val="bullet"/>
      <w:lvlText w:val=""/>
      <w:lvlJc w:val="left"/>
      <w:pPr>
        <w:ind w:left="2880" w:hanging="360"/>
      </w:pPr>
      <w:rPr>
        <w:rFonts w:ascii="Symbol" w:hAnsi="Symbol" w:hint="default"/>
      </w:rPr>
    </w:lvl>
    <w:lvl w:ilvl="4" w:tplc="E99243C4" w:tentative="1">
      <w:start w:val="1"/>
      <w:numFmt w:val="bullet"/>
      <w:lvlText w:val="o"/>
      <w:lvlJc w:val="left"/>
      <w:pPr>
        <w:ind w:left="3600" w:hanging="360"/>
      </w:pPr>
      <w:rPr>
        <w:rFonts w:ascii="Courier New" w:hAnsi="Courier New" w:cs="Courier New" w:hint="default"/>
      </w:rPr>
    </w:lvl>
    <w:lvl w:ilvl="5" w:tplc="02E8E090" w:tentative="1">
      <w:start w:val="1"/>
      <w:numFmt w:val="bullet"/>
      <w:lvlText w:val=""/>
      <w:lvlJc w:val="left"/>
      <w:pPr>
        <w:ind w:left="4320" w:hanging="360"/>
      </w:pPr>
      <w:rPr>
        <w:rFonts w:ascii="Wingdings" w:hAnsi="Wingdings" w:hint="default"/>
      </w:rPr>
    </w:lvl>
    <w:lvl w:ilvl="6" w:tplc="A26EEE98" w:tentative="1">
      <w:start w:val="1"/>
      <w:numFmt w:val="bullet"/>
      <w:lvlText w:val=""/>
      <w:lvlJc w:val="left"/>
      <w:pPr>
        <w:ind w:left="5040" w:hanging="360"/>
      </w:pPr>
      <w:rPr>
        <w:rFonts w:ascii="Symbol" w:hAnsi="Symbol" w:hint="default"/>
      </w:rPr>
    </w:lvl>
    <w:lvl w:ilvl="7" w:tplc="F5DA62AE" w:tentative="1">
      <w:start w:val="1"/>
      <w:numFmt w:val="bullet"/>
      <w:lvlText w:val="o"/>
      <w:lvlJc w:val="left"/>
      <w:pPr>
        <w:ind w:left="5760" w:hanging="360"/>
      </w:pPr>
      <w:rPr>
        <w:rFonts w:ascii="Courier New" w:hAnsi="Courier New" w:cs="Courier New" w:hint="default"/>
      </w:rPr>
    </w:lvl>
    <w:lvl w:ilvl="8" w:tplc="16B8D46A" w:tentative="1">
      <w:start w:val="1"/>
      <w:numFmt w:val="bullet"/>
      <w:lvlText w:val=""/>
      <w:lvlJc w:val="left"/>
      <w:pPr>
        <w:ind w:left="6480" w:hanging="360"/>
      </w:pPr>
      <w:rPr>
        <w:rFonts w:ascii="Wingdings" w:hAnsi="Wingdings" w:hint="default"/>
      </w:rPr>
    </w:lvl>
  </w:abstractNum>
  <w:abstractNum w:abstractNumId="1" w15:restartNumberingAfterBreak="0">
    <w:nsid w:val="5FB30ED9"/>
    <w:multiLevelType w:val="hybridMultilevel"/>
    <w:tmpl w:val="90360F76"/>
    <w:lvl w:ilvl="0" w:tplc="75D8715A">
      <w:start w:val="1"/>
      <w:numFmt w:val="bullet"/>
      <w:lvlText w:val=""/>
      <w:lvlJc w:val="left"/>
      <w:pPr>
        <w:tabs>
          <w:tab w:val="num" w:pos="720"/>
        </w:tabs>
        <w:ind w:left="720" w:hanging="360"/>
      </w:pPr>
      <w:rPr>
        <w:rFonts w:ascii="Symbol" w:hAnsi="Symbol" w:hint="default"/>
      </w:rPr>
    </w:lvl>
    <w:lvl w:ilvl="1" w:tplc="05E0CBC0" w:tentative="1">
      <w:start w:val="1"/>
      <w:numFmt w:val="bullet"/>
      <w:lvlText w:val="o"/>
      <w:lvlJc w:val="left"/>
      <w:pPr>
        <w:ind w:left="1440" w:hanging="360"/>
      </w:pPr>
      <w:rPr>
        <w:rFonts w:ascii="Courier New" w:hAnsi="Courier New" w:cs="Courier New" w:hint="default"/>
      </w:rPr>
    </w:lvl>
    <w:lvl w:ilvl="2" w:tplc="09FA1854" w:tentative="1">
      <w:start w:val="1"/>
      <w:numFmt w:val="bullet"/>
      <w:lvlText w:val=""/>
      <w:lvlJc w:val="left"/>
      <w:pPr>
        <w:ind w:left="2160" w:hanging="360"/>
      </w:pPr>
      <w:rPr>
        <w:rFonts w:ascii="Wingdings" w:hAnsi="Wingdings" w:hint="default"/>
      </w:rPr>
    </w:lvl>
    <w:lvl w:ilvl="3" w:tplc="A7C26CBC" w:tentative="1">
      <w:start w:val="1"/>
      <w:numFmt w:val="bullet"/>
      <w:lvlText w:val=""/>
      <w:lvlJc w:val="left"/>
      <w:pPr>
        <w:ind w:left="2880" w:hanging="360"/>
      </w:pPr>
      <w:rPr>
        <w:rFonts w:ascii="Symbol" w:hAnsi="Symbol" w:hint="default"/>
      </w:rPr>
    </w:lvl>
    <w:lvl w:ilvl="4" w:tplc="D6D074B0" w:tentative="1">
      <w:start w:val="1"/>
      <w:numFmt w:val="bullet"/>
      <w:lvlText w:val="o"/>
      <w:lvlJc w:val="left"/>
      <w:pPr>
        <w:ind w:left="3600" w:hanging="360"/>
      </w:pPr>
      <w:rPr>
        <w:rFonts w:ascii="Courier New" w:hAnsi="Courier New" w:cs="Courier New" w:hint="default"/>
      </w:rPr>
    </w:lvl>
    <w:lvl w:ilvl="5" w:tplc="2670ECD2" w:tentative="1">
      <w:start w:val="1"/>
      <w:numFmt w:val="bullet"/>
      <w:lvlText w:val=""/>
      <w:lvlJc w:val="left"/>
      <w:pPr>
        <w:ind w:left="4320" w:hanging="360"/>
      </w:pPr>
      <w:rPr>
        <w:rFonts w:ascii="Wingdings" w:hAnsi="Wingdings" w:hint="default"/>
      </w:rPr>
    </w:lvl>
    <w:lvl w:ilvl="6" w:tplc="DA2E9142" w:tentative="1">
      <w:start w:val="1"/>
      <w:numFmt w:val="bullet"/>
      <w:lvlText w:val=""/>
      <w:lvlJc w:val="left"/>
      <w:pPr>
        <w:ind w:left="5040" w:hanging="360"/>
      </w:pPr>
      <w:rPr>
        <w:rFonts w:ascii="Symbol" w:hAnsi="Symbol" w:hint="default"/>
      </w:rPr>
    </w:lvl>
    <w:lvl w:ilvl="7" w:tplc="2B4C7ECC" w:tentative="1">
      <w:start w:val="1"/>
      <w:numFmt w:val="bullet"/>
      <w:lvlText w:val="o"/>
      <w:lvlJc w:val="left"/>
      <w:pPr>
        <w:ind w:left="5760" w:hanging="360"/>
      </w:pPr>
      <w:rPr>
        <w:rFonts w:ascii="Courier New" w:hAnsi="Courier New" w:cs="Courier New" w:hint="default"/>
      </w:rPr>
    </w:lvl>
    <w:lvl w:ilvl="8" w:tplc="FED83E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49"/>
    <w:rsid w:val="006870FA"/>
    <w:rsid w:val="0075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055FD-5D03-472D-BA02-5A27A4D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52525"/>
    <w:rPr>
      <w:sz w:val="16"/>
      <w:szCs w:val="16"/>
    </w:rPr>
  </w:style>
  <w:style w:type="paragraph" w:styleId="CommentText">
    <w:name w:val="annotation text"/>
    <w:basedOn w:val="Normal"/>
    <w:link w:val="CommentTextChar"/>
    <w:semiHidden/>
    <w:unhideWhenUsed/>
    <w:rsid w:val="00F52525"/>
    <w:rPr>
      <w:sz w:val="20"/>
      <w:szCs w:val="20"/>
    </w:rPr>
  </w:style>
  <w:style w:type="character" w:customStyle="1" w:styleId="CommentTextChar">
    <w:name w:val="Comment Text Char"/>
    <w:basedOn w:val="DefaultParagraphFont"/>
    <w:link w:val="CommentText"/>
    <w:semiHidden/>
    <w:rsid w:val="00F52525"/>
  </w:style>
  <w:style w:type="paragraph" w:styleId="CommentSubject">
    <w:name w:val="annotation subject"/>
    <w:basedOn w:val="CommentText"/>
    <w:next w:val="CommentText"/>
    <w:link w:val="CommentSubjectChar"/>
    <w:semiHidden/>
    <w:unhideWhenUsed/>
    <w:rsid w:val="00F52525"/>
    <w:rPr>
      <w:b/>
      <w:bCs/>
    </w:rPr>
  </w:style>
  <w:style w:type="character" w:customStyle="1" w:styleId="CommentSubjectChar">
    <w:name w:val="Comment Subject Char"/>
    <w:basedOn w:val="CommentTextChar"/>
    <w:link w:val="CommentSubject"/>
    <w:semiHidden/>
    <w:rsid w:val="00F52525"/>
    <w:rPr>
      <w:b/>
      <w:bCs/>
    </w:rPr>
  </w:style>
  <w:style w:type="character" w:styleId="Hyperlink">
    <w:name w:val="Hyperlink"/>
    <w:basedOn w:val="DefaultParagraphFont"/>
    <w:unhideWhenUsed/>
    <w:rsid w:val="00210502"/>
    <w:rPr>
      <w:color w:val="0000FF" w:themeColor="hyperlink"/>
      <w:u w:val="single"/>
    </w:rPr>
  </w:style>
  <w:style w:type="paragraph" w:styleId="Revision">
    <w:name w:val="Revision"/>
    <w:hidden/>
    <w:uiPriority w:val="99"/>
    <w:semiHidden/>
    <w:rsid w:val="00D47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9167</Characters>
  <Application>Microsoft Office Word</Application>
  <DocSecurity>4</DocSecurity>
  <Lines>165</Lines>
  <Paragraphs>34</Paragraphs>
  <ScaleCrop>false</ScaleCrop>
  <HeadingPairs>
    <vt:vector size="2" baseType="variant">
      <vt:variant>
        <vt:lpstr>Title</vt:lpstr>
      </vt:variant>
      <vt:variant>
        <vt:i4>1</vt:i4>
      </vt:variant>
    </vt:vector>
  </HeadingPairs>
  <TitlesOfParts>
    <vt:vector size="1" baseType="lpstr">
      <vt:lpstr>BA - HB01504 (Committee Report (Substituted))</vt:lpstr>
    </vt:vector>
  </TitlesOfParts>
  <Company>State of Texas</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25905</dc:subject>
  <dc:creator>State of Texas</dc:creator>
  <dc:description>HB 1504 by Paddie-(H)Public Health (Substitute Document Number: 86R 21035)</dc:description>
  <cp:lastModifiedBy>Scotty Wimberley</cp:lastModifiedBy>
  <cp:revision>2</cp:revision>
  <cp:lastPrinted>2019-04-05T21:00:00Z</cp:lastPrinted>
  <dcterms:created xsi:type="dcterms:W3CDTF">2019-04-09T20:54:00Z</dcterms:created>
  <dcterms:modified xsi:type="dcterms:W3CDTF">2019-04-09T20:54:00Z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19.99.786</vt:lpwstr>
  </property>
</Properties>
</file>