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01DC" w:rsidTr="00345119">
        <w:tc>
          <w:tcPr>
            <w:tcW w:w="9576" w:type="dxa"/>
            <w:noWrap/>
          </w:tcPr>
          <w:p w:rsidR="008423E4" w:rsidRPr="0022177D" w:rsidRDefault="004B45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45BD" w:rsidP="008423E4">
      <w:pPr>
        <w:jc w:val="center"/>
      </w:pPr>
    </w:p>
    <w:p w:rsidR="008423E4" w:rsidRPr="00B31F0E" w:rsidRDefault="004B45BD" w:rsidP="008423E4"/>
    <w:p w:rsidR="008423E4" w:rsidRPr="00742794" w:rsidRDefault="004B45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01DC" w:rsidTr="00345119">
        <w:tc>
          <w:tcPr>
            <w:tcW w:w="9576" w:type="dxa"/>
          </w:tcPr>
          <w:p w:rsidR="008423E4" w:rsidRPr="00861995" w:rsidRDefault="004B45BD" w:rsidP="00345119">
            <w:pPr>
              <w:jc w:val="right"/>
            </w:pPr>
            <w:r>
              <w:t>C.S.H.B. 1531</w:t>
            </w:r>
          </w:p>
        </w:tc>
      </w:tr>
      <w:tr w:rsidR="00B101DC" w:rsidTr="00345119">
        <w:tc>
          <w:tcPr>
            <w:tcW w:w="9576" w:type="dxa"/>
          </w:tcPr>
          <w:p w:rsidR="008423E4" w:rsidRPr="00861995" w:rsidRDefault="004B45BD" w:rsidP="0009399D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B101DC" w:rsidTr="00345119">
        <w:tc>
          <w:tcPr>
            <w:tcW w:w="9576" w:type="dxa"/>
          </w:tcPr>
          <w:p w:rsidR="008423E4" w:rsidRPr="00861995" w:rsidRDefault="004B45BD" w:rsidP="00345119">
            <w:pPr>
              <w:jc w:val="right"/>
            </w:pPr>
            <w:r>
              <w:t>Judiciary &amp; Civil Jurisprudence</w:t>
            </w:r>
          </w:p>
        </w:tc>
      </w:tr>
      <w:tr w:rsidR="00B101DC" w:rsidTr="00345119">
        <w:tc>
          <w:tcPr>
            <w:tcW w:w="9576" w:type="dxa"/>
          </w:tcPr>
          <w:p w:rsidR="008423E4" w:rsidRDefault="004B45B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B45BD" w:rsidP="008423E4">
      <w:pPr>
        <w:tabs>
          <w:tab w:val="right" w:pos="9360"/>
        </w:tabs>
      </w:pPr>
    </w:p>
    <w:p w:rsidR="008423E4" w:rsidRDefault="004B45BD" w:rsidP="008423E4"/>
    <w:p w:rsidR="008423E4" w:rsidRDefault="004B45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01DC" w:rsidTr="00345119">
        <w:tc>
          <w:tcPr>
            <w:tcW w:w="9576" w:type="dxa"/>
          </w:tcPr>
          <w:p w:rsidR="008423E4" w:rsidRPr="00A8133F" w:rsidRDefault="004B45BD" w:rsidP="00BA36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45BD" w:rsidP="00BA36A4"/>
          <w:p w:rsidR="008423E4" w:rsidRDefault="004B45BD" w:rsidP="00BA36A4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 xml:space="preserve">some </w:t>
            </w:r>
            <w:r>
              <w:t xml:space="preserve">sexual assault victims do not </w:t>
            </w:r>
            <w:r>
              <w:t xml:space="preserve">assist prosecutors due to safety </w:t>
            </w:r>
            <w:r>
              <w:t>concern</w:t>
            </w:r>
            <w:r>
              <w:t>s</w:t>
            </w:r>
            <w:r>
              <w:t xml:space="preserve"> </w:t>
            </w:r>
            <w:r>
              <w:t xml:space="preserve">and the chance of being </w:t>
            </w:r>
            <w:r>
              <w:t xml:space="preserve">retraumatized in the process. </w:t>
            </w:r>
            <w:r>
              <w:t>C.S.</w:t>
            </w:r>
            <w:r>
              <w:t xml:space="preserve">H.B. 1531 seeks to provide for </w:t>
            </w:r>
            <w:r>
              <w:t>specialized court programs to</w:t>
            </w:r>
            <w:r>
              <w:t xml:space="preserve"> </w:t>
            </w:r>
            <w:r>
              <w:t xml:space="preserve">handle the sensitive nature of </w:t>
            </w:r>
            <w:r>
              <w:t xml:space="preserve">these </w:t>
            </w:r>
            <w:r>
              <w:t xml:space="preserve">cases and allow prosecutors to </w:t>
            </w:r>
            <w:r>
              <w:t>pursue justice</w:t>
            </w:r>
            <w:r>
              <w:t xml:space="preserve">.  </w:t>
            </w:r>
          </w:p>
          <w:p w:rsidR="008423E4" w:rsidRPr="00E26B13" w:rsidRDefault="004B45BD" w:rsidP="00BA36A4">
            <w:pPr>
              <w:rPr>
                <w:b/>
              </w:rPr>
            </w:pPr>
          </w:p>
        </w:tc>
      </w:tr>
      <w:tr w:rsidR="00B101DC" w:rsidTr="00345119">
        <w:tc>
          <w:tcPr>
            <w:tcW w:w="9576" w:type="dxa"/>
          </w:tcPr>
          <w:p w:rsidR="0017725B" w:rsidRDefault="004B45BD" w:rsidP="00BA36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45BD" w:rsidP="00BA36A4">
            <w:pPr>
              <w:rPr>
                <w:b/>
                <w:u w:val="single"/>
              </w:rPr>
            </w:pPr>
          </w:p>
          <w:p w:rsidR="00AC3FC4" w:rsidRPr="00AC3FC4" w:rsidRDefault="004B45BD" w:rsidP="00BA36A4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B45BD" w:rsidP="00BA36A4">
            <w:pPr>
              <w:rPr>
                <w:b/>
                <w:u w:val="single"/>
              </w:rPr>
            </w:pPr>
          </w:p>
        </w:tc>
      </w:tr>
      <w:tr w:rsidR="00B101DC" w:rsidTr="00345119">
        <w:tc>
          <w:tcPr>
            <w:tcW w:w="9576" w:type="dxa"/>
          </w:tcPr>
          <w:p w:rsidR="008423E4" w:rsidRPr="00A8133F" w:rsidRDefault="004B45BD" w:rsidP="00BA36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45BD" w:rsidP="00BA36A4"/>
          <w:p w:rsidR="00AC3FC4" w:rsidRDefault="004B45BD" w:rsidP="00BA36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B45BD" w:rsidP="00BA36A4">
            <w:pPr>
              <w:rPr>
                <w:b/>
              </w:rPr>
            </w:pPr>
          </w:p>
        </w:tc>
      </w:tr>
      <w:tr w:rsidR="00B101DC" w:rsidTr="00345119">
        <w:tc>
          <w:tcPr>
            <w:tcW w:w="9576" w:type="dxa"/>
          </w:tcPr>
          <w:p w:rsidR="008423E4" w:rsidRPr="00A8133F" w:rsidRDefault="004B45BD" w:rsidP="00BA36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45BD" w:rsidP="00BA36A4"/>
          <w:p w:rsidR="002A15C8" w:rsidRDefault="004B45BD" w:rsidP="00BA36A4">
            <w:pPr>
              <w:pStyle w:val="Header"/>
              <w:jc w:val="both"/>
            </w:pPr>
            <w:r>
              <w:t>C.S.</w:t>
            </w:r>
            <w:r>
              <w:t xml:space="preserve">H.B. 1531 amends the Government Code to </w:t>
            </w:r>
            <w:r>
              <w:t xml:space="preserve">authorize the </w:t>
            </w:r>
            <w:r>
              <w:t xml:space="preserve">commissioners court of a county to establish a sexual assault victim services court program for participants who are victims of an alleged sexual assault in which a person is arrested for or charged with a sexual offense or an assaultive offense. </w:t>
            </w:r>
            <w:r>
              <w:t xml:space="preserve">The bill </w:t>
            </w:r>
            <w:r>
              <w:t xml:space="preserve">authorizes a local administrative judge, for the courts </w:t>
            </w:r>
            <w:r>
              <w:t xml:space="preserve">that </w:t>
            </w:r>
            <w:r>
              <w:t xml:space="preserve">the judge serves </w:t>
            </w:r>
            <w:r>
              <w:t>in that role</w:t>
            </w:r>
            <w:r>
              <w:t>, to designate</w:t>
            </w:r>
            <w:r w:rsidRPr="002A15C8">
              <w:t xml:space="preserve"> a court in the county for assignmen</w:t>
            </w:r>
            <w:r>
              <w:t>t of such cases. The bill requires</w:t>
            </w:r>
            <w:r>
              <w:t xml:space="preserve"> the judge of the court to have experience hearing sexual assault cases and</w:t>
            </w:r>
            <w:r>
              <w:t xml:space="preserve"> requir</w:t>
            </w:r>
            <w:r>
              <w:t>es</w:t>
            </w:r>
            <w:r>
              <w:t xml:space="preserve"> t</w:t>
            </w:r>
            <w:r w:rsidRPr="002A15C8">
              <w:t xml:space="preserve">he prosecuting attorney for the court </w:t>
            </w:r>
            <w:r>
              <w:t>to</w:t>
            </w:r>
            <w:r w:rsidRPr="002A15C8">
              <w:t xml:space="preserve"> have experience in prosec</w:t>
            </w:r>
            <w:r>
              <w:t>uting sexual assault offenses</w:t>
            </w:r>
            <w:r w:rsidRPr="002A15C8">
              <w:t>.</w:t>
            </w:r>
            <w:r>
              <w:t xml:space="preserve"> </w:t>
            </w:r>
            <w:r>
              <w:t xml:space="preserve">The bill prescribes </w:t>
            </w:r>
            <w:r>
              <w:t>certain</w:t>
            </w:r>
            <w:r>
              <w:t xml:space="preserve"> essential characteristics of a sexual assault victim services court program</w:t>
            </w:r>
            <w:r>
              <w:t>.</w:t>
            </w:r>
          </w:p>
          <w:p w:rsidR="008A1930" w:rsidRDefault="004B45BD" w:rsidP="00BA36A4">
            <w:pPr>
              <w:pStyle w:val="Header"/>
              <w:jc w:val="both"/>
            </w:pPr>
          </w:p>
          <w:p w:rsidR="008423E4" w:rsidRDefault="004B45BD" w:rsidP="00BA36A4">
            <w:pPr>
              <w:pStyle w:val="Header"/>
              <w:jc w:val="both"/>
            </w:pPr>
            <w:r>
              <w:t>C.S.</w:t>
            </w:r>
            <w:r>
              <w:t>H.B. 1531 requires a sexual assault victim se</w:t>
            </w:r>
            <w:r>
              <w:t xml:space="preserve">rvices court program to ensure that a victim eligible for participation in the program volunteers to proceed through the program and </w:t>
            </w:r>
            <w:r>
              <w:t xml:space="preserve">requires the program to </w:t>
            </w:r>
            <w:r>
              <w:t>allow a participant to withdraw from the program at any time.</w:t>
            </w:r>
            <w:r>
              <w:t xml:space="preserve"> The bill requires such a program to</w:t>
            </w:r>
            <w:r w:rsidRPr="00AC3FC4">
              <w:t xml:space="preserve"> m</w:t>
            </w:r>
            <w:r w:rsidRPr="00AC3FC4">
              <w:t>ake, establish, and publish local procedures to ensure maximum participation of eligible victims in the county.</w:t>
            </w:r>
            <w:r>
              <w:t xml:space="preserve"> </w:t>
            </w:r>
            <w:r>
              <w:t xml:space="preserve">The bill authorizes a county to accept </w:t>
            </w:r>
            <w:r w:rsidRPr="00AC3FC4">
              <w:t>a gift, grant, donation, or bequest of money, services, equipment, goods, or other tangible or intangible</w:t>
            </w:r>
            <w:r w:rsidRPr="00AC3FC4">
              <w:t xml:space="preserve"> property from any source for the program.</w:t>
            </w:r>
          </w:p>
          <w:p w:rsidR="008423E4" w:rsidRPr="00835628" w:rsidRDefault="004B45BD" w:rsidP="00BA36A4">
            <w:pPr>
              <w:rPr>
                <w:b/>
              </w:rPr>
            </w:pPr>
          </w:p>
        </w:tc>
      </w:tr>
      <w:tr w:rsidR="00B101DC" w:rsidTr="00345119">
        <w:tc>
          <w:tcPr>
            <w:tcW w:w="9576" w:type="dxa"/>
          </w:tcPr>
          <w:p w:rsidR="008423E4" w:rsidRPr="00A8133F" w:rsidRDefault="004B45BD" w:rsidP="00BA36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45BD" w:rsidP="00BA36A4"/>
          <w:p w:rsidR="008423E4" w:rsidRPr="003624F2" w:rsidRDefault="004B45BD" w:rsidP="00BA36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B45BD" w:rsidP="00BA36A4">
            <w:pPr>
              <w:rPr>
                <w:b/>
              </w:rPr>
            </w:pPr>
          </w:p>
        </w:tc>
      </w:tr>
      <w:tr w:rsidR="00B101DC" w:rsidTr="00345119">
        <w:tc>
          <w:tcPr>
            <w:tcW w:w="9576" w:type="dxa"/>
          </w:tcPr>
          <w:p w:rsidR="0009399D" w:rsidRDefault="004B45BD" w:rsidP="00BA36A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536C9" w:rsidRDefault="004B45BD" w:rsidP="00BA36A4">
            <w:pPr>
              <w:jc w:val="both"/>
            </w:pPr>
          </w:p>
          <w:p w:rsidR="00C536C9" w:rsidRDefault="004B45BD" w:rsidP="00BA36A4">
            <w:pPr>
              <w:jc w:val="both"/>
            </w:pPr>
            <w:r>
              <w:t>While C.S.H.B. 1531 may differ from the original in minor or nonsubstantive ways, the following summarizes the substantial differences between the introduced and committee substitute versions of the bill.</w:t>
            </w:r>
          </w:p>
          <w:p w:rsidR="00C536C9" w:rsidRDefault="004B45BD" w:rsidP="00BA36A4">
            <w:pPr>
              <w:jc w:val="both"/>
            </w:pPr>
          </w:p>
          <w:p w:rsidR="00B20151" w:rsidRDefault="004B45BD" w:rsidP="00BA36A4">
            <w:pPr>
              <w:jc w:val="both"/>
            </w:pPr>
            <w:r>
              <w:t xml:space="preserve">The substitute </w:t>
            </w:r>
            <w:r>
              <w:t xml:space="preserve">revises </w:t>
            </w:r>
            <w:r>
              <w:t xml:space="preserve">certain of the </w:t>
            </w:r>
            <w:r>
              <w:t>essential ch</w:t>
            </w:r>
            <w:r>
              <w:t>aracteristics of a sexual assault victim services court program</w:t>
            </w:r>
            <w:r>
              <w:t xml:space="preserve"> and adds the</w:t>
            </w:r>
            <w:r>
              <w:t xml:space="preserve"> following as such</w:t>
            </w:r>
            <w:r>
              <w:t>:</w:t>
            </w:r>
            <w:r>
              <w:t xml:space="preserve"> </w:t>
            </w:r>
          </w:p>
          <w:p w:rsidR="009B59AE" w:rsidRDefault="004B45BD" w:rsidP="00BA36A4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prosecution of sexual assault offenses; </w:t>
            </w:r>
          </w:p>
          <w:p w:rsidR="009B59AE" w:rsidRDefault="004B45BD" w:rsidP="00BA36A4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issuance of orders of protection to victims; and </w:t>
            </w:r>
          </w:p>
          <w:p w:rsidR="00C536C9" w:rsidRDefault="004B45BD" w:rsidP="00BA36A4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continued monitoring of sexual assault defendants. </w:t>
            </w:r>
          </w:p>
          <w:p w:rsidR="00BA36A4" w:rsidRDefault="004B45BD" w:rsidP="00BA36A4">
            <w:pPr>
              <w:jc w:val="both"/>
            </w:pPr>
          </w:p>
          <w:p w:rsidR="005C78AB" w:rsidRDefault="004B45BD" w:rsidP="00BA36A4">
            <w:pPr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>requirement for</w:t>
            </w:r>
            <w:r>
              <w:t xml:space="preserve"> the judge of a court </w:t>
            </w:r>
            <w:r>
              <w:t>assigned cases under</w:t>
            </w:r>
            <w:r>
              <w:t xml:space="preserve"> </w:t>
            </w:r>
            <w:r>
              <w:t xml:space="preserve">such a </w:t>
            </w:r>
            <w:r>
              <w:t xml:space="preserve">program to have experience hearing sexual assault cases. </w:t>
            </w:r>
          </w:p>
          <w:p w:rsidR="00ED0D9D" w:rsidRDefault="004B45BD" w:rsidP="00BA36A4">
            <w:pPr>
              <w:jc w:val="both"/>
            </w:pPr>
            <w:r>
              <w:t xml:space="preserve"> </w:t>
            </w:r>
          </w:p>
          <w:p w:rsidR="00C536C9" w:rsidRPr="00C536C9" w:rsidRDefault="004B45BD" w:rsidP="00BA36A4">
            <w:pPr>
              <w:jc w:val="both"/>
            </w:pPr>
          </w:p>
        </w:tc>
      </w:tr>
      <w:tr w:rsidR="00B101DC" w:rsidTr="00345119">
        <w:tc>
          <w:tcPr>
            <w:tcW w:w="9576" w:type="dxa"/>
          </w:tcPr>
          <w:p w:rsidR="0009399D" w:rsidRPr="009C1E9A" w:rsidRDefault="004B45BD" w:rsidP="00BA36A4">
            <w:pPr>
              <w:rPr>
                <w:b/>
                <w:u w:val="single"/>
              </w:rPr>
            </w:pPr>
          </w:p>
        </w:tc>
      </w:tr>
      <w:tr w:rsidR="00B101DC" w:rsidTr="00345119">
        <w:tc>
          <w:tcPr>
            <w:tcW w:w="9576" w:type="dxa"/>
          </w:tcPr>
          <w:p w:rsidR="0009399D" w:rsidRPr="0009399D" w:rsidRDefault="004B45BD" w:rsidP="00BA36A4">
            <w:pPr>
              <w:jc w:val="both"/>
            </w:pPr>
          </w:p>
        </w:tc>
      </w:tr>
    </w:tbl>
    <w:p w:rsidR="008423E4" w:rsidRPr="00BE0E75" w:rsidRDefault="004B45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45B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45BD">
      <w:r>
        <w:separator/>
      </w:r>
    </w:p>
  </w:endnote>
  <w:endnote w:type="continuationSeparator" w:id="0">
    <w:p w:rsidR="00000000" w:rsidRDefault="004B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01DC" w:rsidTr="009C1E9A">
      <w:trPr>
        <w:cantSplit/>
      </w:trPr>
      <w:tc>
        <w:tcPr>
          <w:tcW w:w="0" w:type="pct"/>
        </w:tcPr>
        <w:p w:rsidR="00137D90" w:rsidRDefault="004B45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45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45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45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45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01DC" w:rsidTr="009C1E9A">
      <w:trPr>
        <w:cantSplit/>
      </w:trPr>
      <w:tc>
        <w:tcPr>
          <w:tcW w:w="0" w:type="pct"/>
        </w:tcPr>
        <w:p w:rsidR="00EC379B" w:rsidRDefault="004B45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45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24368</w:t>
          </w:r>
        </w:p>
      </w:tc>
      <w:tc>
        <w:tcPr>
          <w:tcW w:w="2453" w:type="pct"/>
        </w:tcPr>
        <w:p w:rsidR="00EC379B" w:rsidRDefault="004B45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19.94.140</w:t>
          </w:r>
          <w:r>
            <w:fldChar w:fldCharType="end"/>
          </w:r>
        </w:p>
      </w:tc>
    </w:tr>
    <w:tr w:rsidR="00B101DC" w:rsidTr="009C1E9A">
      <w:trPr>
        <w:cantSplit/>
      </w:trPr>
      <w:tc>
        <w:tcPr>
          <w:tcW w:w="0" w:type="pct"/>
        </w:tcPr>
        <w:p w:rsidR="00EC379B" w:rsidRDefault="004B45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45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23030</w:t>
          </w:r>
        </w:p>
      </w:tc>
      <w:tc>
        <w:tcPr>
          <w:tcW w:w="2453" w:type="pct"/>
        </w:tcPr>
        <w:p w:rsidR="00EC379B" w:rsidRDefault="004B45BD" w:rsidP="006D504F">
          <w:pPr>
            <w:pStyle w:val="Footer"/>
            <w:rPr>
              <w:rStyle w:val="PageNumber"/>
            </w:rPr>
          </w:pPr>
        </w:p>
        <w:p w:rsidR="00EC379B" w:rsidRDefault="004B45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01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45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B45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45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45BD">
      <w:r>
        <w:separator/>
      </w:r>
    </w:p>
  </w:footnote>
  <w:footnote w:type="continuationSeparator" w:id="0">
    <w:p w:rsidR="00000000" w:rsidRDefault="004B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0D5"/>
    <w:multiLevelType w:val="hybridMultilevel"/>
    <w:tmpl w:val="D664331A"/>
    <w:lvl w:ilvl="0" w:tplc="86EA5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66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2A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A4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E3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4A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7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A3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A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7115D"/>
    <w:multiLevelType w:val="hybridMultilevel"/>
    <w:tmpl w:val="B66030B8"/>
    <w:lvl w:ilvl="0" w:tplc="8FB0D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A6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CF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7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6C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43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C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0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40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C"/>
    <w:rsid w:val="004B45BD"/>
    <w:rsid w:val="00B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A80424-1BB4-44D6-BD2E-8177BE43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3F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3F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FC4"/>
    <w:rPr>
      <w:b/>
      <w:bCs/>
    </w:rPr>
  </w:style>
  <w:style w:type="paragraph" w:styleId="ListParagraph">
    <w:name w:val="List Paragraph"/>
    <w:basedOn w:val="Normal"/>
    <w:uiPriority w:val="34"/>
    <w:qFormat/>
    <w:rsid w:val="009B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2553</Characters>
  <Application>Microsoft Office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HB01531 (Committee Report (Substituted))</vt:lpstr>
    </vt:vector>
  </TitlesOfParts>
  <Company>State of Texas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24368</dc:subject>
  <dc:creator>State of Texas</dc:creator>
  <dc:description>HB 1531 by Neave-(H)Judiciary &amp; Civil Jurisprudence (Substitute Document Number: 86R 23030)</dc:description>
  <cp:lastModifiedBy>Scotty Wimberley</cp:lastModifiedBy>
  <cp:revision>2</cp:revision>
  <cp:lastPrinted>2019-04-04T00:38:00Z</cp:lastPrinted>
  <dcterms:created xsi:type="dcterms:W3CDTF">2019-04-17T01:30:00Z</dcterms:created>
  <dcterms:modified xsi:type="dcterms:W3CDTF">2019-04-17T01:30:00Z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19.94.140</vt:lpwstr>
  </property>
</Properties>
</file>