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27021" w:rsidTr="00345119">
        <w:tc>
          <w:tcPr>
            <w:tcW w:w="9576" w:type="dxa"/>
            <w:noWrap/>
          </w:tcPr>
          <w:p w:rsidR="008423E4" w:rsidRPr="0022177D" w:rsidRDefault="005B325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3251" w:rsidP="008423E4">
      <w:pPr>
        <w:jc w:val="center"/>
      </w:pPr>
    </w:p>
    <w:p w:rsidR="008423E4" w:rsidRPr="00B31F0E" w:rsidRDefault="005B3251" w:rsidP="008423E4"/>
    <w:p w:rsidR="008423E4" w:rsidRPr="00742794" w:rsidRDefault="005B325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7021" w:rsidTr="00345119">
        <w:tc>
          <w:tcPr>
            <w:tcW w:w="9576" w:type="dxa"/>
          </w:tcPr>
          <w:p w:rsidR="008423E4" w:rsidRPr="00861995" w:rsidRDefault="005B3251" w:rsidP="00345119">
            <w:pPr>
              <w:jc w:val="right"/>
            </w:pPr>
            <w:r>
              <w:t>C.S.H.B. 1532</w:t>
            </w:r>
          </w:p>
        </w:tc>
      </w:tr>
      <w:tr w:rsidR="00A27021" w:rsidTr="00345119">
        <w:tc>
          <w:tcPr>
            <w:tcW w:w="9576" w:type="dxa"/>
          </w:tcPr>
          <w:p w:rsidR="008423E4" w:rsidRPr="00861995" w:rsidRDefault="005B3251" w:rsidP="007C7E8A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A27021" w:rsidTr="00345119">
        <w:tc>
          <w:tcPr>
            <w:tcW w:w="9576" w:type="dxa"/>
          </w:tcPr>
          <w:p w:rsidR="008423E4" w:rsidRPr="00861995" w:rsidRDefault="005B3251" w:rsidP="00345119">
            <w:pPr>
              <w:jc w:val="right"/>
            </w:pPr>
            <w:r>
              <w:t>Public Health</w:t>
            </w:r>
          </w:p>
        </w:tc>
      </w:tr>
      <w:tr w:rsidR="00A27021" w:rsidTr="00345119">
        <w:tc>
          <w:tcPr>
            <w:tcW w:w="9576" w:type="dxa"/>
          </w:tcPr>
          <w:p w:rsidR="008423E4" w:rsidRDefault="005B3251" w:rsidP="001613D7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B3251" w:rsidP="008423E4">
      <w:pPr>
        <w:tabs>
          <w:tab w:val="right" w:pos="9360"/>
        </w:tabs>
      </w:pPr>
    </w:p>
    <w:p w:rsidR="008423E4" w:rsidRDefault="005B3251" w:rsidP="008423E4"/>
    <w:p w:rsidR="008423E4" w:rsidRDefault="005B325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27021" w:rsidTr="00345119">
        <w:tc>
          <w:tcPr>
            <w:tcW w:w="9576" w:type="dxa"/>
          </w:tcPr>
          <w:p w:rsidR="008423E4" w:rsidRPr="00A8133F" w:rsidRDefault="005B3251" w:rsidP="003210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5A429B" w:rsidRDefault="005B3251" w:rsidP="00321032">
            <w:pPr>
              <w:rPr>
                <w:sz w:val="22"/>
              </w:rPr>
            </w:pPr>
          </w:p>
          <w:p w:rsidR="008423E4" w:rsidRDefault="005B3251" w:rsidP="00321032">
            <w:pPr>
              <w:pStyle w:val="Header"/>
              <w:jc w:val="both"/>
            </w:pPr>
            <w:r>
              <w:t>There are concerns that certified</w:t>
            </w:r>
            <w:r>
              <w:t xml:space="preserve"> nonprofit health care organizations are attempting to direct </w:t>
            </w:r>
            <w:r>
              <w:t xml:space="preserve">the manner in which </w:t>
            </w:r>
            <w:r>
              <w:t xml:space="preserve">patient care is </w:t>
            </w:r>
            <w:r>
              <w:t>provided</w:t>
            </w:r>
            <w:r>
              <w:t>, thereby</w:t>
            </w:r>
            <w:r>
              <w:t xml:space="preserve"> subjecting </w:t>
            </w:r>
            <w:r w:rsidRPr="00506906">
              <w:t xml:space="preserve">physicians </w:t>
            </w:r>
            <w:r>
              <w:t xml:space="preserve">sometimes </w:t>
            </w:r>
            <w:r w:rsidRPr="00506906">
              <w:t xml:space="preserve">to unreasonable directives and </w:t>
            </w:r>
            <w:r>
              <w:t xml:space="preserve">certain </w:t>
            </w:r>
            <w:r w:rsidRPr="00506906">
              <w:t>punishment by administrative leadership</w:t>
            </w:r>
            <w:r>
              <w:t xml:space="preserve"> </w:t>
            </w:r>
            <w:r>
              <w:t>despite protections</w:t>
            </w:r>
            <w:r>
              <w:t xml:space="preserve"> that are already </w:t>
            </w:r>
            <w:r>
              <w:t>in place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1532 seeks to</w:t>
            </w:r>
            <w:r>
              <w:t xml:space="preserve"> further protect these physicians from such interference</w:t>
            </w:r>
            <w:r>
              <w:t>.</w:t>
            </w:r>
          </w:p>
          <w:p w:rsidR="008423E4" w:rsidRPr="005A429B" w:rsidRDefault="005B3251" w:rsidP="00321032">
            <w:pPr>
              <w:rPr>
                <w:b/>
                <w:sz w:val="22"/>
              </w:rPr>
            </w:pPr>
          </w:p>
        </w:tc>
      </w:tr>
      <w:tr w:rsidR="00A27021" w:rsidTr="00345119">
        <w:tc>
          <w:tcPr>
            <w:tcW w:w="9576" w:type="dxa"/>
          </w:tcPr>
          <w:p w:rsidR="0017725B" w:rsidRDefault="005B3251" w:rsidP="003210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3251" w:rsidP="00321032">
            <w:pPr>
              <w:rPr>
                <w:b/>
                <w:u w:val="single"/>
              </w:rPr>
            </w:pPr>
          </w:p>
          <w:p w:rsidR="004602F4" w:rsidRPr="004602F4" w:rsidRDefault="005B3251" w:rsidP="0032103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5B3251" w:rsidP="00321032">
            <w:pPr>
              <w:rPr>
                <w:b/>
                <w:u w:val="single"/>
              </w:rPr>
            </w:pPr>
          </w:p>
        </w:tc>
      </w:tr>
      <w:tr w:rsidR="00A27021" w:rsidTr="00345119">
        <w:tc>
          <w:tcPr>
            <w:tcW w:w="9576" w:type="dxa"/>
          </w:tcPr>
          <w:p w:rsidR="008423E4" w:rsidRPr="00A8133F" w:rsidRDefault="005B3251" w:rsidP="003210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3251" w:rsidP="00321032"/>
          <w:p w:rsidR="004602F4" w:rsidRDefault="005B3251" w:rsidP="003210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Medical Board in SECTION 2 of this bill.</w:t>
            </w:r>
          </w:p>
          <w:p w:rsidR="008423E4" w:rsidRPr="00E21FDC" w:rsidRDefault="005B3251" w:rsidP="00321032">
            <w:pPr>
              <w:rPr>
                <w:b/>
              </w:rPr>
            </w:pPr>
          </w:p>
        </w:tc>
      </w:tr>
      <w:tr w:rsidR="00A27021" w:rsidTr="00345119">
        <w:tc>
          <w:tcPr>
            <w:tcW w:w="9576" w:type="dxa"/>
          </w:tcPr>
          <w:p w:rsidR="008423E4" w:rsidRPr="00A8133F" w:rsidRDefault="005B3251" w:rsidP="003210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3251" w:rsidP="00321032"/>
          <w:p w:rsidR="00DD06BA" w:rsidRDefault="005B3251" w:rsidP="00321032">
            <w:pPr>
              <w:pStyle w:val="Header"/>
              <w:jc w:val="both"/>
            </w:pPr>
            <w:r>
              <w:t>C.S.</w:t>
            </w:r>
            <w:r>
              <w:t>H.B. 1532 amends the Occupations Cod</w:t>
            </w:r>
            <w:r>
              <w:t xml:space="preserve">e to </w:t>
            </w:r>
            <w:r w:rsidRPr="00C44428">
              <w:t xml:space="preserve">include committing a violation of </w:t>
            </w:r>
            <w:r>
              <w:t xml:space="preserve">the Medical Practice Act among </w:t>
            </w:r>
            <w:r w:rsidRPr="00C44428">
              <w:t>the grounds on which the Texas Medical Board</w:t>
            </w:r>
            <w:r>
              <w:t xml:space="preserve"> (TMB)</w:t>
            </w:r>
            <w:r w:rsidRPr="00C44428">
              <w:t xml:space="preserve"> may refuse to certify, revoke the certification of, or impose an administrative penalty against a nonprofit health organization.</w:t>
            </w:r>
            <w:r>
              <w:t xml:space="preserve"> The bi</w:t>
            </w:r>
            <w:r>
              <w:t>ll</w:t>
            </w:r>
            <w:r w:rsidRPr="00C44428">
              <w:t xml:space="preserve"> </w:t>
            </w:r>
            <w:r>
              <w:t>require</w:t>
            </w:r>
            <w:r>
              <w:t>s</w:t>
            </w:r>
            <w:r>
              <w:t xml:space="preserve"> the TMB</w:t>
            </w:r>
            <w:r>
              <w:t xml:space="preserve"> to accept and process complaints against a certified </w:t>
            </w:r>
            <w:r>
              <w:t xml:space="preserve">nonprofit </w:t>
            </w:r>
            <w:r>
              <w:t xml:space="preserve">health </w:t>
            </w:r>
            <w:r>
              <w:t xml:space="preserve">corporation </w:t>
            </w:r>
            <w:r>
              <w:t xml:space="preserve">for alleged violations </w:t>
            </w:r>
            <w:r>
              <w:t xml:space="preserve">of </w:t>
            </w:r>
            <w:r>
              <w:t xml:space="preserve">statutory provisions relating to </w:t>
            </w:r>
            <w:r>
              <w:t xml:space="preserve">the regulation of </w:t>
            </w:r>
            <w:r>
              <w:t xml:space="preserve">nonprofit </w:t>
            </w:r>
            <w:r>
              <w:t>health corporations</w:t>
            </w:r>
            <w:r>
              <w:t xml:space="preserve"> or any other provision </w:t>
            </w:r>
            <w:r>
              <w:t xml:space="preserve">of the Medical Practice </w:t>
            </w:r>
            <w:r>
              <w:t xml:space="preserve">Act </w:t>
            </w:r>
            <w:r>
              <w:t xml:space="preserve">applicable to a health organization in the same manner as provided </w:t>
            </w:r>
            <w:r>
              <w:t xml:space="preserve">by state law </w:t>
            </w:r>
            <w:r>
              <w:t xml:space="preserve">and TMB rules </w:t>
            </w:r>
            <w:r>
              <w:t xml:space="preserve">for other </w:t>
            </w:r>
            <w:r>
              <w:t>complaint</w:t>
            </w:r>
            <w:r>
              <w:t>s filed with the TMB</w:t>
            </w:r>
            <w:r>
              <w:t xml:space="preserve"> and specifies certain requirements with which the TMB must comply</w:t>
            </w:r>
            <w:r>
              <w:t>.</w:t>
            </w:r>
            <w:r>
              <w:t xml:space="preserve"> </w:t>
            </w:r>
          </w:p>
          <w:p w:rsidR="00DD06BA" w:rsidRDefault="005B3251" w:rsidP="00321032">
            <w:pPr>
              <w:pStyle w:val="Header"/>
              <w:jc w:val="both"/>
            </w:pPr>
          </w:p>
          <w:p w:rsidR="008423E4" w:rsidRDefault="005B3251" w:rsidP="00321032">
            <w:pPr>
              <w:pStyle w:val="Header"/>
              <w:jc w:val="both"/>
            </w:pPr>
            <w:r>
              <w:t>C.S.H.B. 1532</w:t>
            </w:r>
            <w:r>
              <w:t xml:space="preserve"> makes </w:t>
            </w:r>
            <w:r w:rsidRPr="001353FC">
              <w:t xml:space="preserve">privileged and confidential </w:t>
            </w:r>
            <w:r>
              <w:t>e</w:t>
            </w:r>
            <w:r>
              <w:t xml:space="preserve">ach </w:t>
            </w:r>
            <w:r w:rsidRPr="00026C12">
              <w:t xml:space="preserve">complaint, adverse report, investigation file, other investigation report, and other investigative information in the possession of or received or gathered by the </w:t>
            </w:r>
            <w:r>
              <w:t>TMB</w:t>
            </w:r>
            <w:r w:rsidRPr="00026C12">
              <w:t xml:space="preserve"> or </w:t>
            </w:r>
            <w:r>
              <w:t>TMB</w:t>
            </w:r>
            <w:r w:rsidRPr="00026C12">
              <w:t xml:space="preserve"> employees or agents relating to a </w:t>
            </w:r>
            <w:r>
              <w:t xml:space="preserve">certified </w:t>
            </w:r>
            <w:r>
              <w:t xml:space="preserve">nonprofit </w:t>
            </w:r>
            <w:r w:rsidRPr="00026C12">
              <w:t xml:space="preserve">health </w:t>
            </w:r>
            <w:r>
              <w:t>corporation</w:t>
            </w:r>
            <w:r w:rsidRPr="00026C12">
              <w:t xml:space="preserve"> </w:t>
            </w:r>
            <w:r>
              <w:t>and</w:t>
            </w:r>
            <w:r w:rsidRPr="00026C12">
              <w:t xml:space="preserve"> </w:t>
            </w:r>
            <w:r>
              <w:t xml:space="preserve">establishes that such information is </w:t>
            </w:r>
            <w:r w:rsidRPr="00026C12">
              <w:t xml:space="preserve">not subject to discovery, subpoena, or other means of legal compulsion for release to anyone other than the </w:t>
            </w:r>
            <w:r>
              <w:t>TMB</w:t>
            </w:r>
            <w:r w:rsidRPr="00026C12">
              <w:t xml:space="preserve"> or </w:t>
            </w:r>
            <w:r>
              <w:t>TMB</w:t>
            </w:r>
            <w:r w:rsidRPr="00026C12">
              <w:t xml:space="preserve"> employees or agents involved in the investigation or discipline of a</w:t>
            </w:r>
            <w:r>
              <w:t xml:space="preserve"> certified</w:t>
            </w:r>
            <w:r w:rsidRPr="00026C12">
              <w:t xml:space="preserve"> </w:t>
            </w:r>
            <w:r>
              <w:t xml:space="preserve">nonprofit </w:t>
            </w:r>
            <w:r w:rsidRPr="00026C12">
              <w:t xml:space="preserve">health </w:t>
            </w:r>
            <w:r>
              <w:t>corp</w:t>
            </w:r>
            <w:r>
              <w:t>oration</w:t>
            </w:r>
            <w:r w:rsidRPr="00026C12">
              <w:t>.</w:t>
            </w:r>
            <w:r>
              <w:t xml:space="preserve"> The bill authorizes the TMB to </w:t>
            </w:r>
            <w:r w:rsidRPr="006D5B9B">
              <w:t xml:space="preserve">dispose of a complaint or resolve the investigation of a complaint in a manner provided under </w:t>
            </w:r>
            <w:r>
              <w:t>state law regarding TMB general</w:t>
            </w:r>
            <w:r w:rsidRPr="006D5B9B">
              <w:t xml:space="preserve"> </w:t>
            </w:r>
            <w:r>
              <w:t xml:space="preserve">disciplinary </w:t>
            </w:r>
            <w:r>
              <w:t xml:space="preserve">authority, to the extent the TMB determines the law </w:t>
            </w:r>
            <w:r w:rsidRPr="006D5B9B">
              <w:t>can be made applicable to</w:t>
            </w:r>
            <w:r w:rsidRPr="006D5B9B">
              <w:t xml:space="preserve"> a </w:t>
            </w:r>
            <w:r>
              <w:t xml:space="preserve">certified </w:t>
            </w:r>
            <w:r>
              <w:t xml:space="preserve">nonprofit </w:t>
            </w:r>
            <w:r w:rsidRPr="006D5B9B">
              <w:t>health</w:t>
            </w:r>
            <w:r>
              <w:t xml:space="preserve"> </w:t>
            </w:r>
            <w:r>
              <w:t>corporation</w:t>
            </w:r>
            <w:r w:rsidRPr="006D5B9B">
              <w:t>.</w:t>
            </w:r>
            <w:r>
              <w:t xml:space="preserve"> </w:t>
            </w:r>
            <w:r>
              <w:t xml:space="preserve">The bill expressly does not require an </w:t>
            </w:r>
            <w:r w:rsidRPr="0059071D">
              <w:t xml:space="preserve">individual to file or prohibit an individual from filing a complaint against a certified </w:t>
            </w:r>
            <w:r>
              <w:t xml:space="preserve">nonprofit </w:t>
            </w:r>
            <w:r w:rsidRPr="0059071D">
              <w:t>health corporation</w:t>
            </w:r>
            <w:r>
              <w:t xml:space="preserve"> directly with the corporation</w:t>
            </w:r>
            <w:r>
              <w:t>, alone or in connection wi</w:t>
            </w:r>
            <w:r>
              <w:t xml:space="preserve">th </w:t>
            </w:r>
            <w:r w:rsidRPr="0059071D">
              <w:t xml:space="preserve">a complaint filed with the </w:t>
            </w:r>
            <w:r>
              <w:t>TMB</w:t>
            </w:r>
            <w:r>
              <w:t>,</w:t>
            </w:r>
            <w:r>
              <w:t xml:space="preserve"> relating to </w:t>
            </w:r>
            <w:r w:rsidRPr="0059071D">
              <w:t>the care or services provided by, or the policies of</w:t>
            </w:r>
            <w:r>
              <w:t xml:space="preserve">, </w:t>
            </w:r>
            <w:r>
              <w:t>the</w:t>
            </w:r>
            <w:r>
              <w:t xml:space="preserve"> </w:t>
            </w:r>
            <w:r>
              <w:t>corporation</w:t>
            </w:r>
            <w:r w:rsidRPr="0059071D">
              <w:t xml:space="preserve"> </w:t>
            </w:r>
            <w:r>
              <w:t xml:space="preserve">or </w:t>
            </w:r>
            <w:r w:rsidRPr="00AD0077">
              <w:t xml:space="preserve">an alleged violation by the </w:t>
            </w:r>
            <w:r>
              <w:t xml:space="preserve">corporation of </w:t>
            </w:r>
            <w:r w:rsidRPr="00AD0077">
              <w:t>statutory provisions relating to nonprofit health corporations</w:t>
            </w:r>
            <w:r>
              <w:t xml:space="preserve"> or </w:t>
            </w:r>
            <w:r w:rsidRPr="00464BBE">
              <w:t xml:space="preserve">any other provision of the </w:t>
            </w:r>
            <w:r w:rsidRPr="00464BBE">
              <w:t xml:space="preserve">Medical Practice Act applicable to </w:t>
            </w:r>
            <w:r>
              <w:t xml:space="preserve">the corporation. </w:t>
            </w:r>
          </w:p>
          <w:p w:rsidR="00D641E5" w:rsidRDefault="005B3251" w:rsidP="00321032">
            <w:pPr>
              <w:pStyle w:val="Header"/>
              <w:jc w:val="both"/>
            </w:pPr>
          </w:p>
          <w:p w:rsidR="00E17D47" w:rsidRDefault="005B3251" w:rsidP="00321032">
            <w:pPr>
              <w:pStyle w:val="Header"/>
              <w:jc w:val="both"/>
            </w:pPr>
            <w:r>
              <w:t>C.S.</w:t>
            </w:r>
            <w:r>
              <w:t xml:space="preserve">H.B. 1532 </w:t>
            </w:r>
            <w:r>
              <w:t xml:space="preserve">requires a </w:t>
            </w:r>
            <w:r>
              <w:t xml:space="preserve">certified </w:t>
            </w:r>
            <w:r>
              <w:t xml:space="preserve">nonprofit </w:t>
            </w:r>
            <w:r>
              <w:t>health corporation</w:t>
            </w:r>
            <w:r>
              <w:t xml:space="preserve"> </w:t>
            </w:r>
            <w:r>
              <w:t xml:space="preserve">to </w:t>
            </w:r>
            <w:r w:rsidRPr="00464BBE">
              <w:t>develop, implement, and comply with an anti-retaliation policy for physicians under which</w:t>
            </w:r>
            <w:r>
              <w:t xml:space="preserve"> the corporation </w:t>
            </w:r>
            <w:r>
              <w:t>may not</w:t>
            </w:r>
            <w:r>
              <w:t xml:space="preserve"> </w:t>
            </w:r>
            <w:r>
              <w:t>terminat</w:t>
            </w:r>
            <w:r>
              <w:t>e</w:t>
            </w:r>
            <w:r>
              <w:t>, demot</w:t>
            </w:r>
            <w:r>
              <w:t>e</w:t>
            </w:r>
            <w:r>
              <w:t xml:space="preserve">, </w:t>
            </w:r>
            <w:r>
              <w:t>retaliat</w:t>
            </w:r>
            <w:r>
              <w:t>e</w:t>
            </w:r>
            <w:r>
              <w:t xml:space="preserve"> against, disciplin</w:t>
            </w:r>
            <w:r>
              <w:t>e</w:t>
            </w:r>
            <w:r>
              <w:t>, discriminat</w:t>
            </w:r>
            <w:r>
              <w:t>e</w:t>
            </w:r>
            <w:r>
              <w:t xml:space="preserve"> against, or otherwise penaliz</w:t>
            </w:r>
            <w:r>
              <w:t>e</w:t>
            </w:r>
            <w:r>
              <w:t xml:space="preserve"> a </w:t>
            </w:r>
            <w:r>
              <w:t>physician for</w:t>
            </w:r>
            <w:r>
              <w:t xml:space="preserve"> the following acts:</w:t>
            </w:r>
          </w:p>
          <w:p w:rsidR="00E17D47" w:rsidRDefault="005B3251" w:rsidP="0032103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fil</w:t>
            </w:r>
            <w:r>
              <w:t>ing</w:t>
            </w:r>
            <w:r>
              <w:t xml:space="preserve"> </w:t>
            </w:r>
            <w:r>
              <w:t xml:space="preserve">a complaint </w:t>
            </w:r>
            <w:r>
              <w:t xml:space="preserve">in good faith </w:t>
            </w:r>
            <w:r>
              <w:t>under the bill's provisions;</w:t>
            </w:r>
            <w:r>
              <w:t xml:space="preserve"> </w:t>
            </w:r>
          </w:p>
          <w:p w:rsidR="00E17D47" w:rsidRDefault="005B3251" w:rsidP="0032103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cooperat</w:t>
            </w:r>
            <w:r>
              <w:t>ing</w:t>
            </w:r>
            <w:r>
              <w:t xml:space="preserve"> in</w:t>
            </w:r>
            <w:r>
              <w:t xml:space="preserve"> good faith with</w:t>
            </w:r>
            <w:r>
              <w:t xml:space="preserve"> an investigation or proceeding of </w:t>
            </w:r>
            <w:r>
              <w:t xml:space="preserve">the TMB relating </w:t>
            </w:r>
            <w:r>
              <w:t>to a complaint filed under the bill's provisions</w:t>
            </w:r>
            <w:r>
              <w:t>;</w:t>
            </w:r>
            <w:r>
              <w:t xml:space="preserve"> or </w:t>
            </w:r>
          </w:p>
          <w:p w:rsidR="00E17D47" w:rsidRDefault="005B3251" w:rsidP="0032103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communicat</w:t>
            </w:r>
            <w:r>
              <w:t>ing</w:t>
            </w:r>
            <w:r>
              <w:t xml:space="preserve"> to a patient </w:t>
            </w:r>
            <w:r>
              <w:t xml:space="preserve">in good faith what the physician </w:t>
            </w:r>
            <w:r w:rsidRPr="005B6003">
              <w:t>reasonably believes to be the physician's best, independent medical judgment</w:t>
            </w:r>
            <w:r>
              <w:t>.</w:t>
            </w:r>
            <w:r>
              <w:t xml:space="preserve"> </w:t>
            </w:r>
          </w:p>
          <w:p w:rsidR="008423E4" w:rsidRDefault="005B3251" w:rsidP="005A429B">
            <w:pPr>
              <w:pStyle w:val="Header"/>
              <w:jc w:val="both"/>
            </w:pPr>
            <w:r>
              <w:t>The bill requires a certified nonprofit health corporation to d</w:t>
            </w:r>
            <w:r>
              <w:t xml:space="preserve">evelop an anti-retaliation policy not later than December 31, 2019. </w:t>
            </w:r>
            <w:r>
              <w:t>E</w:t>
            </w:r>
            <w:r>
              <w:t xml:space="preserve">ffective January 1, 2020, </w:t>
            </w:r>
            <w:r>
              <w:t>the bill</w:t>
            </w:r>
            <w:r>
              <w:t xml:space="preserve"> </w:t>
            </w:r>
            <w:r>
              <w:t xml:space="preserve">authorizes the TMB, on </w:t>
            </w:r>
            <w:r>
              <w:t xml:space="preserve">a </w:t>
            </w:r>
            <w:r>
              <w:t xml:space="preserve">determination that a corporation </w:t>
            </w:r>
            <w:r w:rsidRPr="00CB20DD">
              <w:t xml:space="preserve">has failed to develop, implement, or comply with </w:t>
            </w:r>
            <w:r>
              <w:t>such a</w:t>
            </w:r>
            <w:r w:rsidRPr="00CB20DD">
              <w:t xml:space="preserve"> </w:t>
            </w:r>
            <w:r>
              <w:t>policy, to take any action allowed und</w:t>
            </w:r>
            <w:r>
              <w:t xml:space="preserve">er the </w:t>
            </w:r>
            <w:r w:rsidRPr="00CB20DD">
              <w:t>Medical Practice Act</w:t>
            </w:r>
            <w:r>
              <w:t xml:space="preserve"> or TMB rule </w:t>
            </w:r>
            <w:r>
              <w:t>applicable to a health organization.</w:t>
            </w:r>
            <w:r>
              <w:t xml:space="preserve"> </w:t>
            </w:r>
          </w:p>
          <w:p w:rsidR="00FF3A8F" w:rsidRDefault="005B3251" w:rsidP="00321032">
            <w:pPr>
              <w:pStyle w:val="Header"/>
              <w:jc w:val="both"/>
            </w:pPr>
          </w:p>
          <w:p w:rsidR="00FF3A8F" w:rsidRDefault="005B3251" w:rsidP="00321032">
            <w:pPr>
              <w:pStyle w:val="Header"/>
              <w:jc w:val="both"/>
            </w:pPr>
            <w:r>
              <w:t xml:space="preserve">C.S.H.B. 1532 requires each </w:t>
            </w:r>
            <w:r>
              <w:t xml:space="preserve">certified </w:t>
            </w:r>
            <w:r>
              <w:t xml:space="preserve">nonprofit </w:t>
            </w:r>
            <w:r>
              <w:t xml:space="preserve">health corporation to file with the TMB </w:t>
            </w:r>
            <w:r w:rsidRPr="00FF3A8F">
              <w:t>a biennial report</w:t>
            </w:r>
            <w:r w:rsidRPr="00FF3A8F">
              <w:t xml:space="preserve"> in September of each odd-numbered year if the organization was certified in an odd-numbered year or in September of each even-numbered year if the organization was certified in an even-numbered year.</w:t>
            </w:r>
            <w:r>
              <w:t xml:space="preserve"> The bill sets out the required contents of the report</w:t>
            </w:r>
            <w:r>
              <w:t xml:space="preserve"> a</w:t>
            </w:r>
            <w:r>
              <w:t>nd</w:t>
            </w:r>
            <w:r>
              <w:t xml:space="preserve"> requires a </w:t>
            </w:r>
            <w:r>
              <w:t>certified nonprofit health corporation</w:t>
            </w:r>
            <w:r>
              <w:t xml:space="preserve"> to </w:t>
            </w:r>
            <w:r w:rsidRPr="00FF3A8F">
              <w:t xml:space="preserve">submit with the report a fee in the amount prescribed by </w:t>
            </w:r>
            <w:r>
              <w:t>TMB</w:t>
            </w:r>
            <w:r w:rsidRPr="00FF3A8F">
              <w:t xml:space="preserve"> rule</w:t>
            </w:r>
            <w:r>
              <w:t xml:space="preserve">. </w:t>
            </w:r>
            <w:r w:rsidRPr="005E25BC">
              <w:t>The bill requires the TMB</w:t>
            </w:r>
            <w:r>
              <w:t xml:space="preserve"> </w:t>
            </w:r>
            <w:r w:rsidRPr="005E25BC">
              <w:t xml:space="preserve">to publish </w:t>
            </w:r>
            <w:r w:rsidRPr="005E25BC">
              <w:t>certain information provided in</w:t>
            </w:r>
            <w:r>
              <w:t xml:space="preserve"> such a</w:t>
            </w:r>
            <w:r w:rsidRPr="005E25BC">
              <w:t xml:space="preserve"> report on the TMB</w:t>
            </w:r>
            <w:r w:rsidRPr="005E25BC">
              <w:t xml:space="preserve"> website</w:t>
            </w:r>
            <w:r w:rsidRPr="00F77BF8">
              <w:t xml:space="preserve"> not later than January 1 of eac</w:t>
            </w:r>
            <w:r w:rsidRPr="00F77BF8">
              <w:t>h year</w:t>
            </w:r>
            <w:r w:rsidRPr="005E25BC">
              <w:t xml:space="preserve"> </w:t>
            </w:r>
            <w:r w:rsidRPr="005E25BC">
              <w:t>and</w:t>
            </w:r>
            <w:r w:rsidRPr="005E25BC">
              <w:t xml:space="preserve"> </w:t>
            </w:r>
            <w:r w:rsidRPr="005E25BC">
              <w:t>establishes that</w:t>
            </w:r>
            <w:r w:rsidRPr="005E25BC">
              <w:t xml:space="preserve"> </w:t>
            </w:r>
            <w:r w:rsidRPr="005E25BC">
              <w:t>the</w:t>
            </w:r>
            <w:r w:rsidRPr="005E25BC">
              <w:t xml:space="preserve"> other</w:t>
            </w:r>
            <w:r w:rsidRPr="005E25BC">
              <w:t xml:space="preserve"> </w:t>
            </w:r>
            <w:r w:rsidRPr="005E25BC">
              <w:t>information</w:t>
            </w:r>
            <w:r w:rsidRPr="005E25BC">
              <w:t xml:space="preserve"> </w:t>
            </w:r>
            <w:r w:rsidRPr="005E25BC">
              <w:t xml:space="preserve">provided in </w:t>
            </w:r>
            <w:r w:rsidRPr="005E25BC">
              <w:t>the report</w:t>
            </w:r>
            <w:r w:rsidRPr="005E25BC">
              <w:t xml:space="preserve"> is </w:t>
            </w:r>
            <w:r w:rsidRPr="005E25BC">
              <w:t>public information subject to disclosure under state public information law.</w:t>
            </w:r>
            <w:r>
              <w:t xml:space="preserve"> The bill authorizes the TMB to adopt rules necessary to implement </w:t>
            </w:r>
            <w:r>
              <w:t>these provisions</w:t>
            </w:r>
            <w:r>
              <w:t xml:space="preserve"> relating to the repo</w:t>
            </w:r>
            <w:r>
              <w:t>rt</w:t>
            </w:r>
            <w:r>
              <w:t xml:space="preserve">. </w:t>
            </w:r>
          </w:p>
          <w:p w:rsidR="007657FC" w:rsidRPr="00835628" w:rsidRDefault="005B3251" w:rsidP="00321032">
            <w:pPr>
              <w:pStyle w:val="Header"/>
              <w:jc w:val="both"/>
              <w:rPr>
                <w:b/>
              </w:rPr>
            </w:pPr>
          </w:p>
        </w:tc>
      </w:tr>
      <w:tr w:rsidR="00A27021" w:rsidTr="00345119">
        <w:tc>
          <w:tcPr>
            <w:tcW w:w="9576" w:type="dxa"/>
          </w:tcPr>
          <w:p w:rsidR="008423E4" w:rsidRPr="00A8133F" w:rsidRDefault="005B3251" w:rsidP="003210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5A429B" w:rsidRDefault="005B3251" w:rsidP="00321032">
            <w:pPr>
              <w:rPr>
                <w:sz w:val="22"/>
              </w:rPr>
            </w:pPr>
          </w:p>
          <w:p w:rsidR="008423E4" w:rsidRPr="003624F2" w:rsidRDefault="005B3251" w:rsidP="003210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 w:rsidRPr="004602F4">
              <w:t>September 1, 2019.</w:t>
            </w:r>
          </w:p>
          <w:p w:rsidR="008423E4" w:rsidRPr="005A429B" w:rsidRDefault="005B3251" w:rsidP="00321032">
            <w:pPr>
              <w:rPr>
                <w:b/>
                <w:sz w:val="22"/>
              </w:rPr>
            </w:pPr>
          </w:p>
        </w:tc>
      </w:tr>
      <w:tr w:rsidR="00A27021" w:rsidTr="00345119">
        <w:tc>
          <w:tcPr>
            <w:tcW w:w="9576" w:type="dxa"/>
          </w:tcPr>
          <w:p w:rsidR="007C7E8A" w:rsidRDefault="005B3251" w:rsidP="0032103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3402B" w:rsidRPr="005A429B" w:rsidRDefault="005B3251" w:rsidP="00321032">
            <w:pPr>
              <w:jc w:val="both"/>
              <w:rPr>
                <w:sz w:val="22"/>
              </w:rPr>
            </w:pPr>
          </w:p>
          <w:p w:rsidR="0043402B" w:rsidRDefault="005B3251" w:rsidP="00321032">
            <w:pPr>
              <w:jc w:val="both"/>
            </w:pPr>
            <w:r>
              <w:t>While C.S.H.B. 1532 may differ from the original in minor or nonsubstantive ways, the following summarizes the substantial differences between</w:t>
            </w:r>
            <w:r>
              <w:t xml:space="preserve"> the introduced and committee substitute versions of the bill.</w:t>
            </w:r>
          </w:p>
          <w:p w:rsidR="00A157C0" w:rsidRPr="005A429B" w:rsidRDefault="005B3251" w:rsidP="00321032">
            <w:pPr>
              <w:jc w:val="both"/>
              <w:rPr>
                <w:sz w:val="22"/>
              </w:rPr>
            </w:pPr>
          </w:p>
          <w:p w:rsidR="0012304E" w:rsidRDefault="005B3251" w:rsidP="00321032">
            <w:pPr>
              <w:jc w:val="both"/>
            </w:pPr>
            <w:r>
              <w:t>The substitute revises provisions relating to the procedures for and disposition of complaints against certified nonprofit health corporations</w:t>
            </w:r>
            <w:r>
              <w:t xml:space="preserve"> as follows</w:t>
            </w:r>
            <w:r>
              <w:t>:</w:t>
            </w:r>
          </w:p>
          <w:p w:rsidR="0012304E" w:rsidRDefault="005B3251" w:rsidP="0032103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expands the requirements for the proc</w:t>
            </w:r>
            <w:r>
              <w:t xml:space="preserve">essing of complaints to which the </w:t>
            </w:r>
            <w:r>
              <w:t xml:space="preserve">bill expressly subjects the </w:t>
            </w:r>
            <w:r>
              <w:t>TMB;</w:t>
            </w:r>
          </w:p>
          <w:p w:rsidR="0012304E" w:rsidRDefault="005B3251" w:rsidP="0032103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does not include an authorization for the TMB to adopt rules as necessary to implement the provisions;</w:t>
            </w:r>
            <w:r>
              <w:t xml:space="preserve"> and</w:t>
            </w:r>
          </w:p>
          <w:p w:rsidR="0043402B" w:rsidRDefault="005B3251" w:rsidP="005A429B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specifies </w:t>
            </w:r>
            <w:r>
              <w:t xml:space="preserve">that </w:t>
            </w:r>
            <w:r>
              <w:t>the</w:t>
            </w:r>
            <w:r>
              <w:t xml:space="preserve"> provisions </w:t>
            </w:r>
            <w:r>
              <w:t xml:space="preserve">do </w:t>
            </w:r>
            <w:r>
              <w:t xml:space="preserve">not require </w:t>
            </w:r>
            <w:r>
              <w:t xml:space="preserve">or prohibit </w:t>
            </w:r>
            <w:r>
              <w:t>an individual from filing</w:t>
            </w:r>
            <w:r>
              <w:t xml:space="preserve"> </w:t>
            </w:r>
            <w:r>
              <w:t xml:space="preserve">certain </w:t>
            </w:r>
            <w:r>
              <w:t>complaint</w:t>
            </w:r>
            <w:r>
              <w:t>s</w:t>
            </w:r>
            <w:r>
              <w:t xml:space="preserve"> against a certified </w:t>
            </w:r>
            <w:r>
              <w:t xml:space="preserve">nonprofit </w:t>
            </w:r>
            <w:r>
              <w:t xml:space="preserve">health corporation </w:t>
            </w:r>
            <w:r>
              <w:t>directly</w:t>
            </w:r>
            <w:r>
              <w:t xml:space="preserve"> with the </w:t>
            </w:r>
            <w:r>
              <w:t>corporation</w:t>
            </w:r>
            <w:r>
              <w:t xml:space="preserve">. </w:t>
            </w:r>
          </w:p>
          <w:p w:rsidR="00786330" w:rsidRPr="005A429B" w:rsidRDefault="005B3251" w:rsidP="00321032">
            <w:pPr>
              <w:jc w:val="both"/>
              <w:rPr>
                <w:sz w:val="22"/>
              </w:rPr>
            </w:pPr>
          </w:p>
          <w:p w:rsidR="005B5204" w:rsidRDefault="005B3251" w:rsidP="00321032">
            <w:pPr>
              <w:jc w:val="both"/>
            </w:pPr>
            <w:r>
              <w:t>The substitute revises provisions relating to prohibited retaliation by a certified nonprofit health corporation as follows:</w:t>
            </w:r>
          </w:p>
          <w:p w:rsidR="00DB5F39" w:rsidRDefault="005B3251" w:rsidP="00321032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changes the prohibition again</w:t>
            </w:r>
            <w:r>
              <w:t xml:space="preserve">st a corporation penalizing a person, a person's family member, or a person's partner because the person engages in </w:t>
            </w:r>
            <w:r>
              <w:t>certain</w:t>
            </w:r>
            <w:r>
              <w:t xml:space="preserve"> acts to a requirement for a corporation to develop, implement, and comply with an anti-retaliation policy for physicians under which</w:t>
            </w:r>
            <w:r>
              <w:t xml:space="preserve"> the corporation may not penalize a physician for engaging in </w:t>
            </w:r>
            <w:r>
              <w:t>certain</w:t>
            </w:r>
            <w:r>
              <w:t xml:space="preserve"> acts;</w:t>
            </w:r>
          </w:p>
          <w:p w:rsidR="00DB5F39" w:rsidRDefault="005B3251" w:rsidP="00321032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revises the acts with respect to which retaliation is prohibited;</w:t>
            </w:r>
          </w:p>
          <w:p w:rsidR="000650E3" w:rsidRDefault="005B3251" w:rsidP="00321032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includes a provision, which takes effect January 1, 2020, authorizing the TMB to take action against a corporation</w:t>
            </w:r>
            <w:r>
              <w:t xml:space="preserve"> that fails to develop, implement, or comply with an anti</w:t>
            </w:r>
            <w:r>
              <w:noBreakHyphen/>
            </w:r>
            <w:r>
              <w:t>retaliation policy; and</w:t>
            </w:r>
          </w:p>
          <w:p w:rsidR="000650E3" w:rsidRDefault="005B3251" w:rsidP="00321032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does not include the following:</w:t>
            </w:r>
          </w:p>
          <w:p w:rsidR="000650E3" w:rsidRDefault="005B3251" w:rsidP="00321032">
            <w:pPr>
              <w:pStyle w:val="ListParagraph"/>
              <w:numPr>
                <w:ilvl w:val="1"/>
                <w:numId w:val="4"/>
              </w:numPr>
              <w:spacing w:before="120" w:after="120"/>
              <w:contextualSpacing w:val="0"/>
              <w:jc w:val="both"/>
            </w:pPr>
            <w:r>
              <w:t>a prohibition against a corporation prohibiting, restricting, or discouraging a person from taking the applicable actions;</w:t>
            </w:r>
          </w:p>
          <w:p w:rsidR="000650E3" w:rsidRDefault="005B3251" w:rsidP="00321032">
            <w:pPr>
              <w:pStyle w:val="ListParagraph"/>
              <w:numPr>
                <w:ilvl w:val="1"/>
                <w:numId w:val="4"/>
              </w:numPr>
              <w:spacing w:before="120" w:after="120"/>
              <w:contextualSpacing w:val="0"/>
              <w:jc w:val="both"/>
            </w:pPr>
            <w:r>
              <w:t xml:space="preserve">a provision </w:t>
            </w:r>
            <w:r>
              <w:t>granting immunity from civil liability for a report made in good faith; and</w:t>
            </w:r>
          </w:p>
          <w:p w:rsidR="00DE578F" w:rsidRDefault="005B3251" w:rsidP="005A429B">
            <w:pPr>
              <w:pStyle w:val="ListParagraph"/>
              <w:numPr>
                <w:ilvl w:val="1"/>
                <w:numId w:val="4"/>
              </w:numPr>
              <w:contextualSpacing w:val="0"/>
              <w:jc w:val="both"/>
            </w:pPr>
            <w:r>
              <w:t xml:space="preserve">requiring an employment contract between a corporation and a physician to contain a provision requiring the corporation to comply with the applicable requirements. </w:t>
            </w:r>
            <w:r>
              <w:t xml:space="preserve"> </w:t>
            </w:r>
          </w:p>
          <w:p w:rsidR="00DE578F" w:rsidRDefault="005B3251" w:rsidP="00321032">
            <w:pPr>
              <w:jc w:val="both"/>
            </w:pPr>
          </w:p>
          <w:p w:rsidR="005D4775" w:rsidRDefault="005B3251" w:rsidP="00321032">
            <w:pPr>
              <w:jc w:val="both"/>
            </w:pPr>
            <w:r>
              <w:t xml:space="preserve">The </w:t>
            </w:r>
            <w:r>
              <w:t>substitute</w:t>
            </w:r>
            <w:r>
              <w:t xml:space="preserve"> </w:t>
            </w:r>
            <w:r>
              <w:t xml:space="preserve">includes provisions </w:t>
            </w:r>
            <w:r>
              <w:t>that</w:t>
            </w:r>
            <w:r>
              <w:t xml:space="preserve"> do the following</w:t>
            </w:r>
            <w:r>
              <w:t>:</w:t>
            </w:r>
          </w:p>
          <w:p w:rsidR="005D4775" w:rsidRDefault="005B3251" w:rsidP="0032103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requir</w:t>
            </w:r>
            <w:r>
              <w:t>e</w:t>
            </w:r>
            <w:r>
              <w:t xml:space="preserve"> </w:t>
            </w:r>
            <w:r>
              <w:t xml:space="preserve">each </w:t>
            </w:r>
            <w:r w:rsidRPr="004E6A90">
              <w:t>certified nonprofit health corporation</w:t>
            </w:r>
            <w:r>
              <w:t xml:space="preserve"> </w:t>
            </w:r>
            <w:r>
              <w:t xml:space="preserve">to </w:t>
            </w:r>
            <w:r>
              <w:t xml:space="preserve">file </w:t>
            </w:r>
            <w:r>
              <w:t xml:space="preserve">a biennial report containing certain information </w:t>
            </w:r>
            <w:r>
              <w:t>with the TMB</w:t>
            </w:r>
            <w:r>
              <w:t xml:space="preserve"> and to submit with the report a fee in the amount prescribed by TMB rule;</w:t>
            </w:r>
            <w:r>
              <w:t xml:space="preserve"> </w:t>
            </w:r>
          </w:p>
          <w:p w:rsidR="00C128A5" w:rsidRDefault="005B3251" w:rsidP="0032103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requi</w:t>
            </w:r>
            <w:r>
              <w:t xml:space="preserve">re the TMB </w:t>
            </w:r>
            <w:r>
              <w:t xml:space="preserve"> to publish on its website </w:t>
            </w:r>
            <w:r>
              <w:t>certain</w:t>
            </w:r>
            <w:r>
              <w:t xml:space="preserve"> information provided </w:t>
            </w:r>
            <w:r>
              <w:t>in</w:t>
            </w:r>
            <w:r>
              <w:t xml:space="preserve"> the report</w:t>
            </w:r>
            <w:r>
              <w:t>;</w:t>
            </w:r>
            <w:r>
              <w:t xml:space="preserve"> </w:t>
            </w:r>
          </w:p>
          <w:p w:rsidR="005D4775" w:rsidRDefault="005B3251" w:rsidP="0032103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 xml:space="preserve">subject certain </w:t>
            </w:r>
            <w:r>
              <w:t xml:space="preserve">other </w:t>
            </w:r>
            <w:r>
              <w:t xml:space="preserve">information in the report </w:t>
            </w:r>
            <w:r>
              <w:t>to</w:t>
            </w:r>
            <w:r>
              <w:t xml:space="preserve"> disclosure under</w:t>
            </w:r>
            <w:r>
              <w:t xml:space="preserve"> state </w:t>
            </w:r>
            <w:r>
              <w:t xml:space="preserve">public information </w:t>
            </w:r>
            <w:r>
              <w:t>law</w:t>
            </w:r>
            <w:r>
              <w:t>; and</w:t>
            </w:r>
          </w:p>
          <w:p w:rsidR="009D0541" w:rsidRDefault="005B3251" w:rsidP="0032103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authoriz</w:t>
            </w:r>
            <w:r>
              <w:t>e</w:t>
            </w:r>
            <w:r>
              <w:t xml:space="preserve"> </w:t>
            </w:r>
            <w:r>
              <w:t xml:space="preserve">the TMB to adopt rules necessary to implement </w:t>
            </w:r>
            <w:r>
              <w:t xml:space="preserve">the bill's </w:t>
            </w:r>
            <w:r>
              <w:t>prov</w:t>
            </w:r>
            <w:r>
              <w:t xml:space="preserve">isions relating to the report. </w:t>
            </w:r>
          </w:p>
          <w:p w:rsidR="00791241" w:rsidRPr="0043402B" w:rsidRDefault="005B3251" w:rsidP="00321032">
            <w:pPr>
              <w:jc w:val="both"/>
            </w:pPr>
          </w:p>
        </w:tc>
      </w:tr>
      <w:tr w:rsidR="00A27021" w:rsidTr="00345119">
        <w:tc>
          <w:tcPr>
            <w:tcW w:w="9576" w:type="dxa"/>
          </w:tcPr>
          <w:p w:rsidR="007C7E8A" w:rsidRPr="009C1E9A" w:rsidRDefault="005B3251" w:rsidP="00321032">
            <w:pPr>
              <w:rPr>
                <w:b/>
                <w:u w:val="single"/>
              </w:rPr>
            </w:pPr>
          </w:p>
        </w:tc>
      </w:tr>
      <w:tr w:rsidR="00A27021" w:rsidTr="00345119">
        <w:tc>
          <w:tcPr>
            <w:tcW w:w="9576" w:type="dxa"/>
          </w:tcPr>
          <w:p w:rsidR="007C7E8A" w:rsidRPr="007C7E8A" w:rsidRDefault="005B3251" w:rsidP="00321032">
            <w:pPr>
              <w:jc w:val="both"/>
            </w:pPr>
          </w:p>
        </w:tc>
      </w:tr>
    </w:tbl>
    <w:p w:rsidR="008423E4" w:rsidRPr="00BE0E75" w:rsidRDefault="005B325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B325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3251">
      <w:r>
        <w:separator/>
      </w:r>
    </w:p>
  </w:endnote>
  <w:endnote w:type="continuationSeparator" w:id="0">
    <w:p w:rsidR="00000000" w:rsidRDefault="005B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3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7021" w:rsidTr="009C1E9A">
      <w:trPr>
        <w:cantSplit/>
      </w:trPr>
      <w:tc>
        <w:tcPr>
          <w:tcW w:w="0" w:type="pct"/>
        </w:tcPr>
        <w:p w:rsidR="00137D90" w:rsidRDefault="005B32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32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32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32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32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7021" w:rsidTr="009C1E9A">
      <w:trPr>
        <w:cantSplit/>
      </w:trPr>
      <w:tc>
        <w:tcPr>
          <w:tcW w:w="0" w:type="pct"/>
        </w:tcPr>
        <w:p w:rsidR="00EC379B" w:rsidRDefault="005B32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32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26665</w:t>
          </w:r>
        </w:p>
      </w:tc>
      <w:tc>
        <w:tcPr>
          <w:tcW w:w="2453" w:type="pct"/>
        </w:tcPr>
        <w:p w:rsidR="00EC379B" w:rsidRDefault="005B32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19.102.1474</w:t>
          </w:r>
          <w:r>
            <w:fldChar w:fldCharType="end"/>
          </w:r>
        </w:p>
      </w:tc>
    </w:tr>
    <w:tr w:rsidR="00A27021" w:rsidTr="009C1E9A">
      <w:trPr>
        <w:cantSplit/>
      </w:trPr>
      <w:tc>
        <w:tcPr>
          <w:tcW w:w="0" w:type="pct"/>
        </w:tcPr>
        <w:p w:rsidR="00EC379B" w:rsidRDefault="005B32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32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15556</w:t>
          </w:r>
        </w:p>
      </w:tc>
      <w:tc>
        <w:tcPr>
          <w:tcW w:w="2453" w:type="pct"/>
        </w:tcPr>
        <w:p w:rsidR="00EC379B" w:rsidRDefault="005B3251" w:rsidP="006D504F">
          <w:pPr>
            <w:pStyle w:val="Footer"/>
            <w:rPr>
              <w:rStyle w:val="PageNumber"/>
            </w:rPr>
          </w:pPr>
        </w:p>
        <w:p w:rsidR="00EC379B" w:rsidRDefault="005B32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702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32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5B325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325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3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3251">
      <w:r>
        <w:separator/>
      </w:r>
    </w:p>
  </w:footnote>
  <w:footnote w:type="continuationSeparator" w:id="0">
    <w:p w:rsidR="00000000" w:rsidRDefault="005B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3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3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3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459"/>
    <w:multiLevelType w:val="hybridMultilevel"/>
    <w:tmpl w:val="699E6754"/>
    <w:lvl w:ilvl="0" w:tplc="B7BAF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C3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849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47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EC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4E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EF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A7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C8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2078"/>
    <w:multiLevelType w:val="hybridMultilevel"/>
    <w:tmpl w:val="A4E6B4A2"/>
    <w:lvl w:ilvl="0" w:tplc="8A729E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FFAEA5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A2A607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E1469C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214647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6B649F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328CFD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D4A681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996093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07701A"/>
    <w:multiLevelType w:val="hybridMultilevel"/>
    <w:tmpl w:val="E0829906"/>
    <w:lvl w:ilvl="0" w:tplc="C928C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0FC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B44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EB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6E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BCC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8F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C3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1E0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35061"/>
    <w:multiLevelType w:val="hybridMultilevel"/>
    <w:tmpl w:val="B2060360"/>
    <w:lvl w:ilvl="0" w:tplc="DE502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03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F8B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C5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0E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E60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22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E9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C4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21"/>
    <w:rsid w:val="005B3251"/>
    <w:rsid w:val="00A2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0E5BA8-9EEC-4006-ABB5-7A0201EF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76A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07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76A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7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76AC"/>
    <w:rPr>
      <w:b/>
      <w:bCs/>
    </w:rPr>
  </w:style>
  <w:style w:type="paragraph" w:styleId="Revision">
    <w:name w:val="Revision"/>
    <w:hidden/>
    <w:uiPriority w:val="99"/>
    <w:semiHidden/>
    <w:rsid w:val="00C076A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2A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04E"/>
    <w:pPr>
      <w:ind w:left="720"/>
      <w:contextualSpacing/>
    </w:pPr>
  </w:style>
  <w:style w:type="paragraph" w:customStyle="1" w:styleId="center">
    <w:name w:val="center"/>
    <w:basedOn w:val="Normal"/>
    <w:rsid w:val="00DD28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6438</Characters>
  <Application>Microsoft Office Word</Application>
  <DocSecurity>4</DocSecurity>
  <Lines>136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HB01532 (Committee Report (Substituted))</vt:lpstr>
    </vt:vector>
  </TitlesOfParts>
  <Company>State of Texas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26665</dc:subject>
  <dc:creator>State of Texas</dc:creator>
  <dc:description>HB 1532 by Meyer-(H)Public Health (Substitute Document Number: 86R 15556)</dc:description>
  <cp:lastModifiedBy>Laura Ramsay</cp:lastModifiedBy>
  <cp:revision>2</cp:revision>
  <cp:lastPrinted>2003-11-26T17:21:00Z</cp:lastPrinted>
  <dcterms:created xsi:type="dcterms:W3CDTF">2019-04-16T17:54:00Z</dcterms:created>
  <dcterms:modified xsi:type="dcterms:W3CDTF">2019-04-16T17:54:00Z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19.102.1474</vt:lpwstr>
  </property>
</Properties>
</file>