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2B24" w:rsidTr="00345119">
        <w:tc>
          <w:tcPr>
            <w:tcW w:w="9576" w:type="dxa"/>
            <w:noWrap/>
          </w:tcPr>
          <w:p w:rsidR="008423E4" w:rsidRPr="0022177D" w:rsidRDefault="008D7E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7E17" w:rsidP="008423E4">
      <w:pPr>
        <w:jc w:val="center"/>
      </w:pPr>
    </w:p>
    <w:p w:rsidR="008423E4" w:rsidRPr="00B31F0E" w:rsidRDefault="008D7E17" w:rsidP="008423E4"/>
    <w:p w:rsidR="008423E4" w:rsidRPr="00742794" w:rsidRDefault="008D7E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2B24" w:rsidTr="00345119">
        <w:tc>
          <w:tcPr>
            <w:tcW w:w="9576" w:type="dxa"/>
          </w:tcPr>
          <w:p w:rsidR="008423E4" w:rsidRPr="00861995" w:rsidRDefault="008D7E17" w:rsidP="00345119">
            <w:pPr>
              <w:jc w:val="right"/>
            </w:pPr>
            <w:r>
              <w:t>H.B. 1550</w:t>
            </w:r>
          </w:p>
        </w:tc>
      </w:tr>
      <w:tr w:rsidR="002D2B24" w:rsidTr="00345119">
        <w:tc>
          <w:tcPr>
            <w:tcW w:w="9576" w:type="dxa"/>
          </w:tcPr>
          <w:p w:rsidR="008423E4" w:rsidRPr="00861995" w:rsidRDefault="008D7E17" w:rsidP="00F11359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2D2B24" w:rsidTr="00345119">
        <w:tc>
          <w:tcPr>
            <w:tcW w:w="9576" w:type="dxa"/>
          </w:tcPr>
          <w:p w:rsidR="008423E4" w:rsidRPr="00861995" w:rsidRDefault="008D7E17" w:rsidP="00345119">
            <w:pPr>
              <w:jc w:val="right"/>
            </w:pPr>
            <w:r>
              <w:t>State Affairs</w:t>
            </w:r>
          </w:p>
        </w:tc>
      </w:tr>
      <w:tr w:rsidR="002D2B24" w:rsidTr="00345119">
        <w:tc>
          <w:tcPr>
            <w:tcW w:w="9576" w:type="dxa"/>
          </w:tcPr>
          <w:p w:rsidR="008423E4" w:rsidRDefault="008D7E1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7E17" w:rsidP="008423E4">
      <w:pPr>
        <w:tabs>
          <w:tab w:val="right" w:pos="9360"/>
        </w:tabs>
      </w:pPr>
    </w:p>
    <w:p w:rsidR="008423E4" w:rsidRDefault="008D7E17" w:rsidP="008423E4"/>
    <w:p w:rsidR="008423E4" w:rsidRDefault="008D7E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2B24" w:rsidTr="00345119">
        <w:tc>
          <w:tcPr>
            <w:tcW w:w="9576" w:type="dxa"/>
          </w:tcPr>
          <w:p w:rsidR="008423E4" w:rsidRPr="00A8133F" w:rsidRDefault="008D7E17" w:rsidP="00BC46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7E17" w:rsidP="00BC4689"/>
          <w:p w:rsidR="008423E4" w:rsidRDefault="008D7E17" w:rsidP="00AF1E94">
            <w:pPr>
              <w:pStyle w:val="Header"/>
              <w:jc w:val="both"/>
            </w:pPr>
            <w:r>
              <w:t xml:space="preserve">A number of public entities </w:t>
            </w:r>
            <w:r>
              <w:t xml:space="preserve">are subject to periodic review by the Texas Sunset Commission. </w:t>
            </w:r>
            <w:r w:rsidRPr="00F11359">
              <w:t>H</w:t>
            </w:r>
            <w:r>
              <w:t>.</w:t>
            </w:r>
            <w:r w:rsidRPr="00F11359">
              <w:t>B</w:t>
            </w:r>
            <w:r>
              <w:t>.</w:t>
            </w:r>
            <w:r w:rsidRPr="00F11359">
              <w:t xml:space="preserve"> 1550 </w:t>
            </w:r>
            <w:r>
              <w:t>seeks to</w:t>
            </w:r>
            <w:r w:rsidRPr="00F11359">
              <w:t xml:space="preserve"> </w:t>
            </w:r>
            <w:r w:rsidRPr="00F11359">
              <w:t>provide a two</w:t>
            </w:r>
            <w:r>
              <w:t>-</w:t>
            </w:r>
            <w:r w:rsidRPr="00F11359">
              <w:t xml:space="preserve">year extension </w:t>
            </w:r>
            <w:r w:rsidRPr="00F11359">
              <w:t>for agencies</w:t>
            </w:r>
            <w:r>
              <w:t xml:space="preserve"> subject to abolishment under the Texas Sunset Act following review during the 2019 sunset review cycle</w:t>
            </w:r>
            <w:r w:rsidRPr="00F11359">
              <w:t>, protecting against unintended abolishment of an agency</w:t>
            </w:r>
            <w:r>
              <w:t xml:space="preserve"> should the legislature fail to enact legislation extending an applicable agency</w:t>
            </w:r>
            <w:r w:rsidRPr="00F11359">
              <w:t>.</w:t>
            </w:r>
          </w:p>
          <w:p w:rsidR="008423E4" w:rsidRPr="00E26B13" w:rsidRDefault="008D7E17" w:rsidP="00AF1E94">
            <w:pPr>
              <w:rPr>
                <w:b/>
              </w:rPr>
            </w:pPr>
          </w:p>
        </w:tc>
      </w:tr>
      <w:tr w:rsidR="002D2B24" w:rsidTr="00345119">
        <w:tc>
          <w:tcPr>
            <w:tcW w:w="9576" w:type="dxa"/>
          </w:tcPr>
          <w:p w:rsidR="0017725B" w:rsidRDefault="008D7E17" w:rsidP="00AF1E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:rsidR="0017725B" w:rsidRDefault="008D7E17" w:rsidP="00AF1E94">
            <w:pPr>
              <w:rPr>
                <w:b/>
                <w:u w:val="single"/>
              </w:rPr>
            </w:pPr>
          </w:p>
          <w:p w:rsidR="0031388F" w:rsidRPr="0031388F" w:rsidRDefault="008D7E17" w:rsidP="00AF1E9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:rsidR="0017725B" w:rsidRPr="0017725B" w:rsidRDefault="008D7E17" w:rsidP="00AF1E94">
            <w:pPr>
              <w:rPr>
                <w:b/>
                <w:u w:val="single"/>
              </w:rPr>
            </w:pPr>
          </w:p>
        </w:tc>
      </w:tr>
      <w:tr w:rsidR="002D2B24" w:rsidTr="00345119">
        <w:tc>
          <w:tcPr>
            <w:tcW w:w="9576" w:type="dxa"/>
          </w:tcPr>
          <w:p w:rsidR="008423E4" w:rsidRPr="00A8133F" w:rsidRDefault="008D7E17" w:rsidP="00AF1E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7E17" w:rsidP="00AF1E94"/>
          <w:p w:rsidR="0031388F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D7E17" w:rsidP="00AF1E94">
            <w:pPr>
              <w:rPr>
                <w:b/>
              </w:rPr>
            </w:pPr>
          </w:p>
        </w:tc>
      </w:tr>
      <w:tr w:rsidR="002D2B24" w:rsidTr="00345119">
        <w:tc>
          <w:tcPr>
            <w:tcW w:w="9576" w:type="dxa"/>
          </w:tcPr>
          <w:p w:rsidR="008423E4" w:rsidRPr="00A8133F" w:rsidRDefault="008D7E17" w:rsidP="00AF1E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7E17" w:rsidP="00AF1E94"/>
          <w:p w:rsidR="00690A17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1550 </w:t>
            </w:r>
            <w:r>
              <w:t xml:space="preserve">amends the Alcoholic Beverage Code to postpone from </w:t>
            </w:r>
            <w:r w:rsidRPr="00690A17">
              <w:t>September 1, 2019, to September 1</w:t>
            </w:r>
            <w:r>
              <w:t xml:space="preserve">, 2021 </w:t>
            </w:r>
            <w:r w:rsidRPr="00690A17">
              <w:t>the date on which the Texas Alcoholic Beverage Commission</w:t>
            </w:r>
            <w:r>
              <w:t xml:space="preserve"> i</w:t>
            </w:r>
            <w:r>
              <w:t xml:space="preserve">s </w:t>
            </w:r>
            <w:r w:rsidRPr="00690A17">
              <w:t xml:space="preserve">abolished </w:t>
            </w:r>
            <w:r>
              <w:t xml:space="preserve">and related provisions expire </w:t>
            </w:r>
            <w:r w:rsidRPr="00690A17">
              <w:t>unless continued in existence as provided by the Texas Sunset A</w:t>
            </w:r>
            <w:r w:rsidRPr="00690A17">
              <w:t>ct.</w:t>
            </w:r>
          </w:p>
          <w:p w:rsidR="00C93704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F5E88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1550</w:t>
            </w:r>
            <w:r w:rsidRPr="00C93704">
              <w:t xml:space="preserve"> amends the Finance Code to postpone from Septem</w:t>
            </w:r>
            <w:r>
              <w:t>ber 1, 2019, to September 1, 202</w:t>
            </w:r>
            <w:r w:rsidRPr="00C93704">
              <w:t>1, the date on which the</w:t>
            </w:r>
            <w:r>
              <w:t xml:space="preserve"> following entities </w:t>
            </w:r>
            <w:r w:rsidRPr="00AF5E88">
              <w:t>are abolished unless continued in existence as p</w:t>
            </w:r>
            <w:r>
              <w:t>rovided by the Texas Sunset Act:</w:t>
            </w:r>
            <w:r w:rsidRPr="00C93704">
              <w:t xml:space="preserve"> </w:t>
            </w:r>
          </w:p>
          <w:p w:rsidR="00AF5E88" w:rsidRDefault="008D7E17" w:rsidP="00AF1E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C93704">
              <w:t>Finance Commission of Texas</w:t>
            </w:r>
            <w:r>
              <w:t>;</w:t>
            </w:r>
            <w:r>
              <w:t xml:space="preserve"> </w:t>
            </w:r>
          </w:p>
          <w:p w:rsidR="00AF5E88" w:rsidRDefault="008D7E17" w:rsidP="00AF1E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</w:t>
            </w:r>
            <w:r>
              <w:t>e office of banking commissioner</w:t>
            </w:r>
            <w:r>
              <w:t>;</w:t>
            </w:r>
          </w:p>
          <w:p w:rsidR="0057102B" w:rsidRDefault="008D7E17" w:rsidP="00AF1E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office of savings and mortgage lending commissioner</w:t>
            </w:r>
            <w:r>
              <w:t>;</w:t>
            </w:r>
          </w:p>
          <w:p w:rsidR="00AF5E88" w:rsidRDefault="008D7E17" w:rsidP="00AF1E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C93704">
              <w:t>Department of Savings and Mortgage Lendin</w:t>
            </w:r>
            <w:r>
              <w:t>g</w:t>
            </w:r>
            <w:r>
              <w:t xml:space="preserve">; </w:t>
            </w:r>
            <w:r>
              <w:t>and</w:t>
            </w:r>
            <w:r>
              <w:t xml:space="preserve"> </w:t>
            </w:r>
          </w:p>
          <w:p w:rsidR="00C93704" w:rsidRDefault="008D7E17" w:rsidP="00AF1E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>
              <w:t>Office of Consumer Credit Commissioner</w:t>
            </w:r>
            <w:r>
              <w:t>.</w:t>
            </w:r>
            <w:r w:rsidRPr="00C93704">
              <w:t xml:space="preserve"> </w:t>
            </w:r>
          </w:p>
          <w:p w:rsidR="007660B6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F5E88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1550 amends the Government Code to </w:t>
            </w:r>
            <w:r>
              <w:t xml:space="preserve">postpone from </w:t>
            </w:r>
            <w:r w:rsidRPr="00DB161F">
              <w:t>September 1,</w:t>
            </w:r>
            <w:r w:rsidRPr="00DB161F">
              <w:t xml:space="preserve"> 2019, to September 1, 2021, the date on which</w:t>
            </w:r>
            <w:r>
              <w:t xml:space="preserve"> the</w:t>
            </w:r>
            <w:r>
              <w:t xml:space="preserve"> following entities </w:t>
            </w:r>
            <w:r w:rsidRPr="00AF5E88">
              <w:t xml:space="preserve">are abolished </w:t>
            </w:r>
            <w:r>
              <w:t>and related provisions expire</w:t>
            </w:r>
            <w:r>
              <w:t>, as applicable,</w:t>
            </w:r>
            <w:r>
              <w:t xml:space="preserve"> </w:t>
            </w:r>
            <w:r w:rsidRPr="00AF5E88">
              <w:t xml:space="preserve">unless continued in existence as provided </w:t>
            </w:r>
            <w:r>
              <w:t xml:space="preserve">by the Texas Sunset Act: </w:t>
            </w:r>
          </w:p>
          <w:p w:rsidR="00AF5E88" w:rsidRDefault="008D7E17" w:rsidP="00AF1E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>
              <w:t>Department of Public Safety</w:t>
            </w:r>
            <w:r>
              <w:t>;</w:t>
            </w:r>
            <w:r>
              <w:t xml:space="preserve"> </w:t>
            </w:r>
          </w:p>
          <w:p w:rsidR="00AF5E88" w:rsidRDefault="008D7E17" w:rsidP="00AF1E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>
              <w:t xml:space="preserve">Texas Veterans </w:t>
            </w:r>
            <w:r>
              <w:t>Commission</w:t>
            </w:r>
            <w:r>
              <w:t>;</w:t>
            </w:r>
            <w:r>
              <w:t xml:space="preserve"> </w:t>
            </w:r>
          </w:p>
          <w:p w:rsidR="00AF5E88" w:rsidRDefault="008D7E17" w:rsidP="00AF1E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DB161F">
              <w:t>Texas Military Department</w:t>
            </w:r>
            <w:r>
              <w:t>;</w:t>
            </w:r>
            <w:r>
              <w:t xml:space="preserve"> </w:t>
            </w:r>
          </w:p>
          <w:p w:rsidR="00AF5E88" w:rsidRDefault="008D7E17" w:rsidP="00AF1E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DB161F">
              <w:t>Texas State Library and Archives Commission</w:t>
            </w:r>
            <w:r>
              <w:t>;</w:t>
            </w:r>
            <w:r>
              <w:t xml:space="preserve"> and</w:t>
            </w:r>
          </w:p>
          <w:p w:rsidR="007660B6" w:rsidRDefault="008D7E17" w:rsidP="00AF1E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DB161F">
              <w:t>Texas Historical Commission</w:t>
            </w:r>
            <w:r>
              <w:t>.</w:t>
            </w:r>
          </w:p>
          <w:p w:rsidR="00DB161F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B161F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1550 amends the Insurance Code to </w:t>
            </w:r>
            <w:r>
              <w:t xml:space="preserve">postpone the </w:t>
            </w:r>
            <w:r>
              <w:t xml:space="preserve">next </w:t>
            </w:r>
            <w:r>
              <w:t xml:space="preserve">review of the </w:t>
            </w:r>
            <w:r w:rsidRPr="00F66649">
              <w:t>Texas Windstorm Insurance Association</w:t>
            </w:r>
            <w:r>
              <w:t xml:space="preserve"> </w:t>
            </w:r>
            <w:r>
              <w:t>under the Texas</w:t>
            </w:r>
            <w:r>
              <w:t xml:space="preserve"> Sunset Act </w:t>
            </w:r>
            <w:r>
              <w:t xml:space="preserve">from </w:t>
            </w:r>
            <w:r w:rsidRPr="00F66649">
              <w:t>the period in which state agencies abolished in</w:t>
            </w:r>
            <w:r>
              <w:t xml:space="preserve"> 2019</w:t>
            </w:r>
            <w:r>
              <w:t xml:space="preserve"> are reviewed to the period in which state agencies abolished</w:t>
            </w:r>
            <w:r>
              <w:t xml:space="preserve"> </w:t>
            </w:r>
            <w:r>
              <w:t xml:space="preserve">in </w:t>
            </w:r>
            <w:r>
              <w:t>2021</w:t>
            </w:r>
            <w:r>
              <w:t xml:space="preserve"> are reviewed</w:t>
            </w:r>
            <w:r>
              <w:t xml:space="preserve"> and to postpone the expiration of </w:t>
            </w:r>
            <w:r>
              <w:t>related</w:t>
            </w:r>
            <w:r>
              <w:t xml:space="preserve"> provision</w:t>
            </w:r>
            <w:r>
              <w:t>s</w:t>
            </w:r>
            <w:r>
              <w:t xml:space="preserve"> </w:t>
            </w:r>
            <w:r w:rsidRPr="00AF5E88">
              <w:t>from September</w:t>
            </w:r>
            <w:r>
              <w:t xml:space="preserve"> 1, 2019, to September 1, 2021.</w:t>
            </w:r>
          </w:p>
          <w:p w:rsidR="00DB161F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66649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1550 amends the Labor Code to </w:t>
            </w:r>
            <w:r w:rsidRPr="00F66649">
              <w:t xml:space="preserve">postpone from September 1, 2019, to September 1, 2021, the date on which the </w:t>
            </w:r>
            <w:r>
              <w:t xml:space="preserve">State Office of Risk Management and </w:t>
            </w:r>
            <w:r>
              <w:t xml:space="preserve">the </w:t>
            </w:r>
            <w:r>
              <w:t>risk management board</w:t>
            </w:r>
            <w:r w:rsidRPr="00F66649">
              <w:t xml:space="preserve"> are abolished</w:t>
            </w:r>
            <w:r>
              <w:t xml:space="preserve"> and related provisions expire</w:t>
            </w:r>
            <w:r w:rsidRPr="00F66649">
              <w:t xml:space="preserve"> unless continued in existence as p</w:t>
            </w:r>
            <w:r>
              <w:t xml:space="preserve">rovided </w:t>
            </w:r>
            <w:r>
              <w:t>by the Texas Sunset Act.</w:t>
            </w:r>
          </w:p>
          <w:p w:rsidR="00F66649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31275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1550 amends the Natural Resources Code to </w:t>
            </w:r>
            <w:r w:rsidRPr="00831275">
              <w:t>postpone from September 1, 2019, to September 1, 2021, the date on which the</w:t>
            </w:r>
            <w:r>
              <w:t xml:space="preserve"> School Land Board </w:t>
            </w:r>
            <w:r>
              <w:t>is</w:t>
            </w:r>
            <w:r w:rsidRPr="00831275">
              <w:t xml:space="preserve"> abolished unless continued in existence as provided by the Texas Sunset Act.</w:t>
            </w:r>
            <w:r>
              <w:t xml:space="preserve"> The bill</w:t>
            </w:r>
            <w:r>
              <w:t xml:space="preserve"> postpones the </w:t>
            </w:r>
            <w:r>
              <w:t>next review of the</w:t>
            </w:r>
            <w:r>
              <w:t xml:space="preserve"> Veterans' Land Board under that act from the period in which state agencies abolished in 2019 are reviewed to the period in which agencies abolished in 2021 are reviewed. </w:t>
            </w:r>
          </w:p>
          <w:p w:rsidR="00F66649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31275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1550 amends the Occupations Code to </w:t>
            </w:r>
            <w:r w:rsidRPr="00831275">
              <w:t>postpone</w:t>
            </w:r>
            <w:r w:rsidRPr="00831275">
              <w:t xml:space="preserve"> from September 1, 2019, to September 1, 2021, the date on which the following entities are abolished </w:t>
            </w:r>
            <w:r>
              <w:t>and related provisions expire</w:t>
            </w:r>
            <w:r>
              <w:t>, as applicable,</w:t>
            </w:r>
            <w:r>
              <w:t xml:space="preserve"> </w:t>
            </w:r>
            <w:r w:rsidRPr="00831275">
              <w:t>unless continued in existence as provided by the Texas Sunset Act:</w:t>
            </w:r>
          </w:p>
          <w:p w:rsidR="00831275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831275">
              <w:t>Texas Medical Board</w:t>
            </w:r>
            <w:r>
              <w:t>;</w:t>
            </w:r>
          </w:p>
          <w:p w:rsidR="00831275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831275">
              <w:t xml:space="preserve">Texas State </w:t>
            </w:r>
            <w:r w:rsidRPr="00831275">
              <w:t>Board of Examiners of Psychologists</w:t>
            </w:r>
            <w:r>
              <w:t>;</w:t>
            </w:r>
            <w:r>
              <w:t xml:space="preserve"> </w:t>
            </w:r>
          </w:p>
          <w:p w:rsidR="00831275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831275">
              <w:t>Texas State Board of Examiners of Marriage and Family Therapists</w:t>
            </w:r>
            <w:r>
              <w:t>;</w:t>
            </w:r>
            <w:r>
              <w:t xml:space="preserve"> </w:t>
            </w:r>
          </w:p>
          <w:p w:rsidR="00831275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0E0CEF">
              <w:t>Texas State Board of Examiners of Professional Counselors</w:t>
            </w:r>
            <w:r>
              <w:t>;</w:t>
            </w:r>
            <w:r>
              <w:t xml:space="preserve"> </w:t>
            </w:r>
          </w:p>
          <w:p w:rsidR="000E0CEF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0E0CEF">
              <w:t>Texas State Board of Social Worker Examiners</w:t>
            </w:r>
            <w:r>
              <w:t>;</w:t>
            </w:r>
            <w:r>
              <w:t xml:space="preserve"> </w:t>
            </w:r>
          </w:p>
          <w:p w:rsidR="000E0CEF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0E0CEF">
              <w:t>Texas Funeral Service Commis</w:t>
            </w:r>
            <w:r w:rsidRPr="000E0CEF">
              <w:t>sion</w:t>
            </w:r>
            <w:r>
              <w:t>;</w:t>
            </w:r>
            <w:r>
              <w:t xml:space="preserve"> </w:t>
            </w:r>
          </w:p>
          <w:p w:rsidR="000E0CEF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0E0CEF">
              <w:t>Texas State Board of Public Accountancy</w:t>
            </w:r>
            <w:r>
              <w:t>;</w:t>
            </w:r>
            <w:r>
              <w:t xml:space="preserve"> </w:t>
            </w:r>
          </w:p>
          <w:p w:rsidR="000E0CEF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0E0CEF">
              <w:t>Texas Board of Professional Geoscientists</w:t>
            </w:r>
            <w:r>
              <w:t>;</w:t>
            </w:r>
          </w:p>
          <w:p w:rsidR="000E0CEF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0E0CEF">
              <w:t>Texas Board of Professional Land Surveying</w:t>
            </w:r>
            <w:r>
              <w:t>;</w:t>
            </w:r>
          </w:p>
          <w:p w:rsidR="000E0CEF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0E0CEF">
              <w:t>Texas Real Estate Commission</w:t>
            </w:r>
            <w:r>
              <w:t>;</w:t>
            </w:r>
          </w:p>
          <w:p w:rsidR="000E0CEF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0E0CEF">
              <w:t>Texas Appraiser Licensing and Certification Board</w:t>
            </w:r>
            <w:r>
              <w:t>; and</w:t>
            </w:r>
          </w:p>
          <w:p w:rsidR="000E0CEF" w:rsidRDefault="008D7E17" w:rsidP="00AF1E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0E0CEF">
              <w:t>Texas State</w:t>
            </w:r>
            <w:r w:rsidRPr="000E0CEF">
              <w:t xml:space="preserve"> Board of Plumbing Examiners</w:t>
            </w:r>
            <w:r>
              <w:t>.</w:t>
            </w:r>
          </w:p>
          <w:p w:rsidR="000E0CEF" w:rsidRDefault="008D7E17" w:rsidP="00AF1E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0E0CEF" w:rsidRDefault="008D7E17" w:rsidP="00AF1E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H.B. 1550 amends the Special District Local Laws Code to </w:t>
            </w:r>
            <w:r>
              <w:t>postpone</w:t>
            </w:r>
            <w:r w:rsidRPr="0001453B">
              <w:t xml:space="preserve"> </w:t>
            </w:r>
            <w:r>
              <w:t xml:space="preserve">the </w:t>
            </w:r>
            <w:r>
              <w:t xml:space="preserve">next </w:t>
            </w:r>
            <w:r w:rsidRPr="0001453B">
              <w:t xml:space="preserve">review of the </w:t>
            </w:r>
            <w:r>
              <w:t>Lower Colorado River Authority</w:t>
            </w:r>
            <w:r>
              <w:t xml:space="preserve"> </w:t>
            </w:r>
            <w:r>
              <w:t xml:space="preserve">under the Texas Sunset Act </w:t>
            </w:r>
            <w:r w:rsidRPr="0001453B">
              <w:t xml:space="preserve">from </w:t>
            </w:r>
            <w:r w:rsidRPr="00C06BBF">
              <w:t xml:space="preserve">the period in which state agencies abolished in 2019 are reviewed to the </w:t>
            </w:r>
            <w:r w:rsidRPr="00C06BBF">
              <w:t>period in which agencies abolished in 2021 are reviewed.</w:t>
            </w:r>
          </w:p>
          <w:p w:rsidR="00F66649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1453B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1550 amends the Transportation Code to </w:t>
            </w:r>
            <w:r w:rsidRPr="0001453B">
              <w:t>postpone from September 1, 2019, to September 1, 2021, the date on which the</w:t>
            </w:r>
            <w:r>
              <w:t xml:space="preserve"> </w:t>
            </w:r>
            <w:r w:rsidRPr="0001453B">
              <w:t>Texas Department of Motor Vehicles</w:t>
            </w:r>
            <w:r>
              <w:t xml:space="preserve"> is </w:t>
            </w:r>
            <w:r w:rsidRPr="00924787">
              <w:t>abolished unless continued in existence</w:t>
            </w:r>
            <w:r w:rsidRPr="00924787">
              <w:t xml:space="preserve"> as provided by the Texas Sunset Act</w:t>
            </w:r>
            <w:r>
              <w:t>.</w:t>
            </w:r>
          </w:p>
          <w:p w:rsidR="00924787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24787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1550 amends </w:t>
            </w:r>
            <w:r>
              <w:t>The Securities Act,</w:t>
            </w:r>
            <w:r w:rsidRPr="00924787">
              <w:t xml:space="preserve"> Vernon's Texas Civil Statutes</w:t>
            </w:r>
            <w:r>
              <w:t>,</w:t>
            </w:r>
            <w:r>
              <w:t xml:space="preserve"> to postpone </w:t>
            </w:r>
            <w:r w:rsidRPr="00924787">
              <w:t>from September 1, 2019, to September 1, 2021, the date on which the State Securities Board</w:t>
            </w:r>
            <w:r>
              <w:t xml:space="preserve"> </w:t>
            </w:r>
            <w:r w:rsidRPr="00924787">
              <w:t xml:space="preserve">is abolished </w:t>
            </w:r>
            <w:r>
              <w:t xml:space="preserve">and that act expires </w:t>
            </w:r>
            <w:r w:rsidRPr="00924787">
              <w:t>unless conti</w:t>
            </w:r>
            <w:r w:rsidRPr="00924787">
              <w:t>nued in existence as provided by the Texas Sunset Act.</w:t>
            </w:r>
          </w:p>
          <w:p w:rsidR="00924787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24787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1550 amends </w:t>
            </w:r>
            <w:r w:rsidRPr="00924787">
              <w:t>Section 1A(a), Chapter 75, Acts of the 43rd Legislature, 1st Called Session, 1933,</w:t>
            </w:r>
            <w:r>
              <w:t xml:space="preserve"> </w:t>
            </w:r>
            <w:r w:rsidRPr="003F7053">
              <w:t xml:space="preserve">to postpone the </w:t>
            </w:r>
            <w:r>
              <w:t xml:space="preserve">next </w:t>
            </w:r>
            <w:r w:rsidRPr="003F7053">
              <w:t xml:space="preserve">review of the </w:t>
            </w:r>
            <w:r>
              <w:t>Guadalupe</w:t>
            </w:r>
            <w:r>
              <w:t>-Blanco</w:t>
            </w:r>
            <w:r w:rsidRPr="003F7053">
              <w:t xml:space="preserve"> River Authority </w:t>
            </w:r>
            <w:r>
              <w:t xml:space="preserve">under the Texas Sunset Act </w:t>
            </w:r>
            <w:r w:rsidRPr="003F7053">
              <w:t xml:space="preserve">from </w:t>
            </w:r>
            <w:r w:rsidRPr="007D42DB">
              <w:t>the period in which state agencies abolished in 2019 are reviewed to the period in which agencies abolished in 2021 are reviewed.</w:t>
            </w:r>
          </w:p>
          <w:p w:rsidR="00924787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24787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F7053">
              <w:t>H.B. 1550 amends Section 1.02A(a), Chapter 427, Acts of the 44th Legisla</w:t>
            </w:r>
            <w:r>
              <w:t>ture, 1st Called Session, 1935,</w:t>
            </w:r>
            <w:r w:rsidRPr="003F7053">
              <w:t xml:space="preserve"> to postpone the </w:t>
            </w:r>
            <w:r>
              <w:t xml:space="preserve">next </w:t>
            </w:r>
            <w:r w:rsidRPr="003F7053">
              <w:t xml:space="preserve">review of the </w:t>
            </w:r>
            <w:r>
              <w:t xml:space="preserve">Nueces River </w:t>
            </w:r>
            <w:r>
              <w:t>Authority</w:t>
            </w:r>
            <w:r>
              <w:t xml:space="preserve"> under the Texas Sunset Act</w:t>
            </w:r>
            <w:r w:rsidRPr="003F7053">
              <w:t xml:space="preserve"> from </w:t>
            </w:r>
            <w:r w:rsidRPr="007D42DB">
              <w:t>the period in which state agencies abolished in 2019 are reviewed to the period in which agencies abolished in 2021 are reviewed.</w:t>
            </w:r>
          </w:p>
          <w:p w:rsidR="003F7053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F7053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3F7053">
              <w:t>H.</w:t>
            </w:r>
            <w:r>
              <w:t>B. 1550 amends</w:t>
            </w:r>
            <w:r>
              <w:t xml:space="preserve"> </w:t>
            </w:r>
            <w:r w:rsidRPr="003F7053">
              <w:t>Section 1A(a), Chapter 279, Acts of the</w:t>
            </w:r>
            <w:r w:rsidRPr="003F7053">
              <w:t xml:space="preserve"> 56th Legislature, Regular Session, 1959</w:t>
            </w:r>
            <w:r>
              <w:t xml:space="preserve">, </w:t>
            </w:r>
            <w:r w:rsidRPr="003F7053">
              <w:t xml:space="preserve">to postpone the </w:t>
            </w:r>
            <w:r>
              <w:t xml:space="preserve">next </w:t>
            </w:r>
            <w:r w:rsidRPr="003F7053">
              <w:t xml:space="preserve">review of the </w:t>
            </w:r>
            <w:r>
              <w:t xml:space="preserve">Red River Authority </w:t>
            </w:r>
            <w:r>
              <w:t xml:space="preserve">under the Texas Sunset Act </w:t>
            </w:r>
            <w:r w:rsidRPr="003F7053">
              <w:t xml:space="preserve">from </w:t>
            </w:r>
            <w:r w:rsidRPr="007D42DB">
              <w:t>the period in which state agencies abolished in 2019 are reviewed to the period in which agencies abolished in 2021 are reviewe</w:t>
            </w:r>
            <w:r w:rsidRPr="007D42DB">
              <w:t>d.</w:t>
            </w:r>
            <w:r>
              <w:rPr>
                <w:b/>
              </w:rPr>
              <w:t xml:space="preserve"> </w:t>
            </w:r>
          </w:p>
          <w:p w:rsidR="001C4502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1C4502" w:rsidRPr="001C4502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1550 establishes that the provisions of any other act of the 86th Legislature, Regular Session, 2019, that extends the sunset date of a governmental entity prevails over </w:t>
            </w:r>
            <w:r>
              <w:t>the bill's provisions</w:t>
            </w:r>
            <w:r>
              <w:t xml:space="preserve"> to the extent that a conflict exists without regard to</w:t>
            </w:r>
            <w:r>
              <w:t xml:space="preserve"> the relative dates of enactment. </w:t>
            </w:r>
          </w:p>
          <w:p w:rsidR="008423E4" w:rsidRPr="00835628" w:rsidRDefault="008D7E17" w:rsidP="00AF1E9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2D2B24" w:rsidTr="00345119">
        <w:tc>
          <w:tcPr>
            <w:tcW w:w="9576" w:type="dxa"/>
          </w:tcPr>
          <w:p w:rsidR="008423E4" w:rsidRPr="00A8133F" w:rsidRDefault="008D7E17" w:rsidP="00AF1E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7E17" w:rsidP="00AF1E94"/>
          <w:p w:rsidR="008423E4" w:rsidRPr="003624F2" w:rsidRDefault="008D7E17" w:rsidP="00AF1E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D7E17" w:rsidP="00AF1E94">
            <w:pPr>
              <w:rPr>
                <w:b/>
              </w:rPr>
            </w:pPr>
          </w:p>
        </w:tc>
      </w:tr>
    </w:tbl>
    <w:p w:rsidR="008423E4" w:rsidRPr="00BE0E75" w:rsidRDefault="008D7E1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7E1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7E17">
      <w:r>
        <w:separator/>
      </w:r>
    </w:p>
  </w:endnote>
  <w:endnote w:type="continuationSeparator" w:id="0">
    <w:p w:rsidR="00000000" w:rsidRDefault="008D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26" w:rsidRDefault="008D7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2B24" w:rsidTr="009C1E9A">
      <w:trPr>
        <w:cantSplit/>
      </w:trPr>
      <w:tc>
        <w:tcPr>
          <w:tcW w:w="0" w:type="pct"/>
        </w:tcPr>
        <w:p w:rsidR="00137D90" w:rsidRDefault="008D7E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7E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7E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7E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7E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2B24" w:rsidTr="009C1E9A">
      <w:trPr>
        <w:cantSplit/>
      </w:trPr>
      <w:tc>
        <w:tcPr>
          <w:tcW w:w="0" w:type="pct"/>
        </w:tcPr>
        <w:p w:rsidR="00EC379B" w:rsidRDefault="008D7E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7E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18549</w:t>
          </w:r>
        </w:p>
      </w:tc>
      <w:tc>
        <w:tcPr>
          <w:tcW w:w="2453" w:type="pct"/>
        </w:tcPr>
        <w:p w:rsidR="00EC379B" w:rsidRDefault="008D7E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19.67.612</w:t>
          </w:r>
          <w:r>
            <w:fldChar w:fldCharType="end"/>
          </w:r>
        </w:p>
      </w:tc>
    </w:tr>
    <w:tr w:rsidR="002D2B24" w:rsidTr="009C1E9A">
      <w:trPr>
        <w:cantSplit/>
      </w:trPr>
      <w:tc>
        <w:tcPr>
          <w:tcW w:w="0" w:type="pct"/>
        </w:tcPr>
        <w:p w:rsidR="00EC379B" w:rsidRDefault="008D7E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7E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7E17" w:rsidP="006D504F">
          <w:pPr>
            <w:pStyle w:val="Footer"/>
            <w:rPr>
              <w:rStyle w:val="PageNumber"/>
            </w:rPr>
          </w:pPr>
        </w:p>
        <w:p w:rsidR="00EC379B" w:rsidRDefault="008D7E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2B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7E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8D7E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7E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26" w:rsidRDefault="008D7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7E17">
      <w:r>
        <w:separator/>
      </w:r>
    </w:p>
  </w:footnote>
  <w:footnote w:type="continuationSeparator" w:id="0">
    <w:p w:rsidR="00000000" w:rsidRDefault="008D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26" w:rsidRDefault="008D7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26" w:rsidRDefault="008D7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26" w:rsidRDefault="008D7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A92"/>
    <w:multiLevelType w:val="hybridMultilevel"/>
    <w:tmpl w:val="A0CE6CBE"/>
    <w:lvl w:ilvl="0" w:tplc="F7EE2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C9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0E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2B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08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0C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EB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82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72B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F8D"/>
    <w:multiLevelType w:val="hybridMultilevel"/>
    <w:tmpl w:val="2E968CFE"/>
    <w:lvl w:ilvl="0" w:tplc="A69C5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6F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C4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6D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2A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83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2A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E5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E9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6ADF"/>
    <w:multiLevelType w:val="hybridMultilevel"/>
    <w:tmpl w:val="6A2EF784"/>
    <w:lvl w:ilvl="0" w:tplc="3426F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21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A8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43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EB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21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AA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66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4E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24"/>
    <w:rsid w:val="002D2B24"/>
    <w:rsid w:val="008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270888-0E26-4DAD-9D04-76C327A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37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37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3704"/>
    <w:rPr>
      <w:b/>
      <w:bCs/>
    </w:rPr>
  </w:style>
  <w:style w:type="character" w:styleId="Hyperlink">
    <w:name w:val="Hyperlink"/>
    <w:basedOn w:val="DefaultParagraphFont"/>
    <w:unhideWhenUsed/>
    <w:rsid w:val="00463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45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5242</Characters>
  <Application>Microsoft Office Word</Application>
  <DocSecurity>4</DocSecurity>
  <Lines>124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HB01550 (Committee Report (Unamended))</vt:lpstr>
    </vt:vector>
  </TitlesOfParts>
  <Company>State of Texas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18549</dc:subject>
  <dc:creator>State of Texas</dc:creator>
  <dc:description>HB 1550 by Paddie-(H)State Affairs</dc:description>
  <cp:lastModifiedBy>Laura Ramsay</cp:lastModifiedBy>
  <cp:revision>2</cp:revision>
  <cp:lastPrinted>2003-11-26T17:21:00Z</cp:lastPrinted>
  <dcterms:created xsi:type="dcterms:W3CDTF">2019-03-21T18:16:00Z</dcterms:created>
  <dcterms:modified xsi:type="dcterms:W3CDTF">2019-03-21T18:16:00Z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19.67.612</vt:lpwstr>
  </property>
</Properties>
</file>