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E03CB6" w:rsidTr="00DC1D88">
        <w:tc>
          <w:tcPr>
            <w:tcW w:w="9576" w:type="dxa"/>
            <w:noWrap/>
          </w:tcPr>
          <w:p w:rsidR="008423E4" w:rsidRPr="0022177D" w:rsidRDefault="001569FC" w:rsidP="00DC1D88">
            <w:pPr>
              <w:pStyle w:val="Heading1"/>
            </w:pPr>
            <w:bookmarkStart w:id="0" w:name="_GoBack"/>
            <w:bookmarkEnd w:id="0"/>
            <w:r w:rsidRPr="00631897">
              <w:t>BILL ANALYSIS</w:t>
            </w:r>
          </w:p>
        </w:tc>
      </w:tr>
    </w:tbl>
    <w:p w:rsidR="008423E4" w:rsidRPr="0022177D" w:rsidRDefault="001569FC" w:rsidP="008423E4">
      <w:pPr>
        <w:jc w:val="center"/>
      </w:pPr>
    </w:p>
    <w:p w:rsidR="008423E4" w:rsidRPr="00B31F0E" w:rsidRDefault="001569FC" w:rsidP="008423E4"/>
    <w:p w:rsidR="008423E4" w:rsidRPr="00742794" w:rsidRDefault="001569FC" w:rsidP="008423E4">
      <w:pPr>
        <w:tabs>
          <w:tab w:val="right" w:pos="9360"/>
        </w:tabs>
      </w:pPr>
    </w:p>
    <w:tbl>
      <w:tblPr>
        <w:tblW w:w="0" w:type="auto"/>
        <w:tblLayout w:type="fixed"/>
        <w:tblLook w:val="01E0" w:firstRow="1" w:lastRow="1" w:firstColumn="1" w:lastColumn="1" w:noHBand="0" w:noVBand="0"/>
      </w:tblPr>
      <w:tblGrid>
        <w:gridCol w:w="9576"/>
      </w:tblGrid>
      <w:tr w:rsidR="00E03CB6" w:rsidTr="00DC1D88">
        <w:tc>
          <w:tcPr>
            <w:tcW w:w="9576" w:type="dxa"/>
          </w:tcPr>
          <w:p w:rsidR="008423E4" w:rsidRPr="00861995" w:rsidRDefault="001569FC" w:rsidP="00DC1D88">
            <w:pPr>
              <w:jc w:val="right"/>
            </w:pPr>
            <w:r>
              <w:t>H.B. 1557</w:t>
            </w:r>
          </w:p>
        </w:tc>
      </w:tr>
      <w:tr w:rsidR="00E03CB6" w:rsidTr="00DC1D88">
        <w:tc>
          <w:tcPr>
            <w:tcW w:w="9576" w:type="dxa"/>
          </w:tcPr>
          <w:p w:rsidR="008423E4" w:rsidRPr="00861995" w:rsidRDefault="001569FC" w:rsidP="00B30126">
            <w:pPr>
              <w:jc w:val="right"/>
            </w:pPr>
            <w:r>
              <w:t xml:space="preserve">By: </w:t>
            </w:r>
            <w:r>
              <w:t>Springer</w:t>
            </w:r>
          </w:p>
        </w:tc>
      </w:tr>
      <w:tr w:rsidR="00E03CB6" w:rsidTr="00DC1D88">
        <w:tc>
          <w:tcPr>
            <w:tcW w:w="9576" w:type="dxa"/>
          </w:tcPr>
          <w:p w:rsidR="008423E4" w:rsidRPr="00861995" w:rsidRDefault="001569FC" w:rsidP="00DC1D88">
            <w:pPr>
              <w:jc w:val="right"/>
            </w:pPr>
            <w:r>
              <w:t>Ways &amp; Means</w:t>
            </w:r>
          </w:p>
        </w:tc>
      </w:tr>
      <w:tr w:rsidR="00E03CB6" w:rsidTr="00DC1D88">
        <w:tc>
          <w:tcPr>
            <w:tcW w:w="9576" w:type="dxa"/>
          </w:tcPr>
          <w:p w:rsidR="008423E4" w:rsidRDefault="001569FC" w:rsidP="00DC1D88">
            <w:pPr>
              <w:jc w:val="right"/>
            </w:pPr>
            <w:r>
              <w:t>Committee Report (Unamended)</w:t>
            </w:r>
          </w:p>
        </w:tc>
      </w:tr>
    </w:tbl>
    <w:p w:rsidR="008423E4" w:rsidRDefault="001569FC" w:rsidP="008423E4">
      <w:pPr>
        <w:tabs>
          <w:tab w:val="right" w:pos="9360"/>
        </w:tabs>
      </w:pPr>
    </w:p>
    <w:p w:rsidR="008423E4" w:rsidRDefault="001569FC" w:rsidP="008423E4"/>
    <w:p w:rsidR="008423E4" w:rsidRDefault="001569FC" w:rsidP="008423E4"/>
    <w:tbl>
      <w:tblPr>
        <w:tblW w:w="0" w:type="auto"/>
        <w:tblCellMar>
          <w:left w:w="115" w:type="dxa"/>
          <w:right w:w="115" w:type="dxa"/>
        </w:tblCellMar>
        <w:tblLook w:val="01E0" w:firstRow="1" w:lastRow="1" w:firstColumn="1" w:lastColumn="1" w:noHBand="0" w:noVBand="0"/>
      </w:tblPr>
      <w:tblGrid>
        <w:gridCol w:w="9576"/>
      </w:tblGrid>
      <w:tr w:rsidR="00E03CB6" w:rsidTr="00DC1D88">
        <w:tc>
          <w:tcPr>
            <w:tcW w:w="9576" w:type="dxa"/>
          </w:tcPr>
          <w:p w:rsidR="008423E4" w:rsidRPr="00A8133F" w:rsidRDefault="001569FC" w:rsidP="005519A8">
            <w:pPr>
              <w:rPr>
                <w:b/>
              </w:rPr>
            </w:pPr>
            <w:r w:rsidRPr="009C1E9A">
              <w:rPr>
                <w:b/>
                <w:u w:val="single"/>
              </w:rPr>
              <w:t>BACKGROUND AND PURPOSE</w:t>
            </w:r>
            <w:r>
              <w:rPr>
                <w:b/>
              </w:rPr>
              <w:t xml:space="preserve"> </w:t>
            </w:r>
          </w:p>
          <w:p w:rsidR="008423E4" w:rsidRDefault="001569FC" w:rsidP="005519A8"/>
          <w:p w:rsidR="008423E4" w:rsidRDefault="001569FC" w:rsidP="005519A8">
            <w:pPr>
              <w:pStyle w:val="Header"/>
              <w:jc w:val="both"/>
            </w:pPr>
            <w:r w:rsidRPr="00A77FD1">
              <w:t xml:space="preserve">It has been noted that </w:t>
            </w:r>
            <w:r>
              <w:t>not all</w:t>
            </w:r>
            <w:r w:rsidRPr="00A77FD1">
              <w:t xml:space="preserve"> municipalities are </w:t>
            </w:r>
            <w:r>
              <w:t xml:space="preserve">currently </w:t>
            </w:r>
            <w:r w:rsidRPr="00A77FD1">
              <w:t>eligible to pledge</w:t>
            </w:r>
            <w:r>
              <w:t xml:space="preserve"> certain</w:t>
            </w:r>
            <w:r w:rsidRPr="00A77FD1">
              <w:t xml:space="preserve"> tax revenue for the payment of obligations related to certain </w:t>
            </w:r>
            <w:r>
              <w:t xml:space="preserve">qualified </w:t>
            </w:r>
            <w:r w:rsidRPr="00A77FD1">
              <w:t>hotel projects</w:t>
            </w:r>
            <w:r>
              <w:t>.</w:t>
            </w:r>
            <w:r w:rsidRPr="00A77FD1">
              <w:t xml:space="preserve"> </w:t>
            </w:r>
            <w:r>
              <w:t xml:space="preserve">Those concerned suggest that </w:t>
            </w:r>
            <w:r>
              <w:t xml:space="preserve">this creates </w:t>
            </w:r>
            <w:r>
              <w:t xml:space="preserve">inequities </w:t>
            </w:r>
            <w:r>
              <w:t>in</w:t>
            </w:r>
            <w:r>
              <w:t xml:space="preserve"> the state's </w:t>
            </w:r>
            <w:r>
              <w:t>travel and tourism market</w:t>
            </w:r>
            <w:r>
              <w:t>s</w:t>
            </w:r>
            <w:r>
              <w:t xml:space="preserve">. H.B. 1557 seeks to remedy this situation </w:t>
            </w:r>
            <w:r>
              <w:t>by extending eligibility for s</w:t>
            </w:r>
            <w:r>
              <w:t>uch pledges to all municipalities</w:t>
            </w:r>
            <w:r>
              <w:t>.</w:t>
            </w:r>
          </w:p>
          <w:p w:rsidR="008423E4" w:rsidRPr="00E26B13" w:rsidRDefault="001569FC" w:rsidP="005519A8">
            <w:pPr>
              <w:rPr>
                <w:b/>
              </w:rPr>
            </w:pPr>
          </w:p>
        </w:tc>
      </w:tr>
      <w:tr w:rsidR="00E03CB6" w:rsidTr="00DC1D88">
        <w:tc>
          <w:tcPr>
            <w:tcW w:w="9576" w:type="dxa"/>
          </w:tcPr>
          <w:p w:rsidR="0017725B" w:rsidRDefault="001569FC" w:rsidP="005519A8">
            <w:pPr>
              <w:rPr>
                <w:b/>
                <w:u w:val="single"/>
              </w:rPr>
            </w:pPr>
            <w:r>
              <w:rPr>
                <w:b/>
                <w:u w:val="single"/>
              </w:rPr>
              <w:t>CRIMINAL JUSTICE IMPACT</w:t>
            </w:r>
          </w:p>
          <w:p w:rsidR="0017725B" w:rsidRDefault="001569FC" w:rsidP="005519A8">
            <w:pPr>
              <w:rPr>
                <w:b/>
                <w:u w:val="single"/>
              </w:rPr>
            </w:pPr>
          </w:p>
          <w:p w:rsidR="001F0C07" w:rsidRPr="001F0C07" w:rsidRDefault="001569FC" w:rsidP="005519A8">
            <w:pPr>
              <w:jc w:val="both"/>
            </w:pPr>
            <w:r>
              <w:t>It is the committee's opinion that this bill does not expressly create a criminal offense, increase the punishment for an existing criminal offense or category of offenses, or change the eligibi</w:t>
            </w:r>
            <w:r>
              <w:t>lity of a person for community supervision, parole, or mandatory supervision.</w:t>
            </w:r>
          </w:p>
          <w:p w:rsidR="0017725B" w:rsidRPr="0017725B" w:rsidRDefault="001569FC" w:rsidP="005519A8">
            <w:pPr>
              <w:rPr>
                <w:b/>
                <w:u w:val="single"/>
              </w:rPr>
            </w:pPr>
          </w:p>
        </w:tc>
      </w:tr>
      <w:tr w:rsidR="00E03CB6" w:rsidTr="00DC1D88">
        <w:tc>
          <w:tcPr>
            <w:tcW w:w="9576" w:type="dxa"/>
          </w:tcPr>
          <w:p w:rsidR="008423E4" w:rsidRPr="00A8133F" w:rsidRDefault="001569FC" w:rsidP="005519A8">
            <w:pPr>
              <w:rPr>
                <w:b/>
              </w:rPr>
            </w:pPr>
            <w:r w:rsidRPr="009C1E9A">
              <w:rPr>
                <w:b/>
                <w:u w:val="single"/>
              </w:rPr>
              <w:t>RULEMAKING AUTHORITY</w:t>
            </w:r>
            <w:r>
              <w:rPr>
                <w:b/>
              </w:rPr>
              <w:t xml:space="preserve"> </w:t>
            </w:r>
          </w:p>
          <w:p w:rsidR="008423E4" w:rsidRDefault="001569FC" w:rsidP="005519A8"/>
          <w:p w:rsidR="001F0C07" w:rsidRDefault="001569FC" w:rsidP="005519A8">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rsidR="008423E4" w:rsidRPr="00E21FDC" w:rsidRDefault="001569FC" w:rsidP="005519A8">
            <w:pPr>
              <w:rPr>
                <w:b/>
              </w:rPr>
            </w:pPr>
          </w:p>
        </w:tc>
      </w:tr>
      <w:tr w:rsidR="00E03CB6" w:rsidTr="00DC1D88">
        <w:tc>
          <w:tcPr>
            <w:tcW w:w="9576" w:type="dxa"/>
          </w:tcPr>
          <w:p w:rsidR="008423E4" w:rsidRPr="00A8133F" w:rsidRDefault="001569FC" w:rsidP="005519A8">
            <w:pPr>
              <w:rPr>
                <w:b/>
              </w:rPr>
            </w:pPr>
            <w:r w:rsidRPr="009C1E9A">
              <w:rPr>
                <w:b/>
                <w:u w:val="single"/>
              </w:rPr>
              <w:t>ANALYSIS</w:t>
            </w:r>
            <w:r>
              <w:rPr>
                <w:b/>
              </w:rPr>
              <w:t xml:space="preserve">   </w:t>
            </w:r>
            <w:r>
              <w:rPr>
                <w:b/>
              </w:rPr>
              <w:t xml:space="preserve"> </w:t>
            </w:r>
          </w:p>
          <w:p w:rsidR="008423E4" w:rsidRDefault="001569FC" w:rsidP="005519A8"/>
          <w:p w:rsidR="00A37192" w:rsidRDefault="001569FC" w:rsidP="005519A8">
            <w:pPr>
              <w:pStyle w:val="Header"/>
              <w:tabs>
                <w:tab w:val="clear" w:pos="4320"/>
                <w:tab w:val="clear" w:pos="8640"/>
              </w:tabs>
              <w:jc w:val="both"/>
            </w:pPr>
            <w:r>
              <w:t xml:space="preserve">H.B. 1557 amends the Tax Code to </w:t>
            </w:r>
            <w:r>
              <w:t>extend to</w:t>
            </w:r>
            <w:r>
              <w:t xml:space="preserve"> </w:t>
            </w:r>
            <w:r>
              <w:t>all</w:t>
            </w:r>
            <w:r>
              <w:t xml:space="preserve"> </w:t>
            </w:r>
            <w:r>
              <w:t>municipalities</w:t>
            </w:r>
            <w:r>
              <w:t xml:space="preserve"> the authori</w:t>
            </w:r>
            <w:r>
              <w:t>ty</w:t>
            </w:r>
            <w:r>
              <w:t xml:space="preserve"> to </w:t>
            </w:r>
            <w:r w:rsidRPr="00772B8D">
              <w:t xml:space="preserve">pledge the revenue derived from </w:t>
            </w:r>
            <w:r>
              <w:t xml:space="preserve">the </w:t>
            </w:r>
            <w:r>
              <w:t>municipal hotel occupancy tax</w:t>
            </w:r>
            <w:r w:rsidRPr="00772B8D">
              <w:t xml:space="preserve"> from </w:t>
            </w:r>
            <w:r>
              <w:t>certain</w:t>
            </w:r>
            <w:r w:rsidRPr="00772B8D">
              <w:t xml:space="preserve"> hotel project</w:t>
            </w:r>
            <w:r>
              <w:t>s</w:t>
            </w:r>
            <w:r w:rsidRPr="00772B8D">
              <w:t xml:space="preserve"> for the payment of bonds or other obligations issued o</w:t>
            </w:r>
            <w:r w:rsidRPr="00772B8D">
              <w:t>r incurred to acquire, lease, construct, and equip the hotel and any facilities ancillary to the hotel</w:t>
            </w:r>
            <w:r>
              <w:t xml:space="preserve"> and to specify that, for purposes of that authorization, a "hotel project" includes </w:t>
            </w:r>
            <w:r w:rsidRPr="007928D3">
              <w:t>an existing hotel owned by the municipality or another person and a c</w:t>
            </w:r>
            <w:r w:rsidRPr="007928D3">
              <w:t>onvention center facility to be acquired, constructed, equipped, or leased, that will be located within 1,000 feet of the hotel, and that will be owned by or located on land owned by the municipality</w:t>
            </w:r>
            <w:r>
              <w:t>.</w:t>
            </w:r>
            <w:r>
              <w:t xml:space="preserve"> </w:t>
            </w:r>
          </w:p>
          <w:p w:rsidR="00A37192" w:rsidRDefault="001569FC" w:rsidP="005519A8">
            <w:pPr>
              <w:pStyle w:val="Header"/>
              <w:tabs>
                <w:tab w:val="clear" w:pos="4320"/>
                <w:tab w:val="clear" w:pos="8640"/>
              </w:tabs>
              <w:jc w:val="both"/>
            </w:pPr>
          </w:p>
          <w:p w:rsidR="00AA5070" w:rsidRDefault="001569FC" w:rsidP="005519A8">
            <w:pPr>
              <w:pStyle w:val="Header"/>
              <w:tabs>
                <w:tab w:val="clear" w:pos="4320"/>
                <w:tab w:val="clear" w:pos="8640"/>
              </w:tabs>
              <w:jc w:val="both"/>
            </w:pPr>
            <w:r>
              <w:t>H.B. 1557</w:t>
            </w:r>
            <w:r>
              <w:t xml:space="preserve"> </w:t>
            </w:r>
            <w:r>
              <w:t>includes among the hotel projects for which</w:t>
            </w:r>
            <w:r>
              <w:t xml:space="preserve"> a municipality may pledge the derived hotel occupancy tax revenue for those purposes </w:t>
            </w:r>
            <w:r w:rsidRPr="006435E6">
              <w:t>a hotel project that is owned by or located on land owned by the</w:t>
            </w:r>
            <w:r>
              <w:t xml:space="preserve"> federal government</w:t>
            </w:r>
            <w:r>
              <w:t xml:space="preserve"> and removes the limitation on the </w:t>
            </w:r>
            <w:r>
              <w:t xml:space="preserve">type of </w:t>
            </w:r>
            <w:r>
              <w:t>municipalities on whose behalf a nonprofit c</w:t>
            </w:r>
            <w:r>
              <w:t>orporation</w:t>
            </w:r>
            <w:r>
              <w:t xml:space="preserve"> </w:t>
            </w:r>
            <w:r>
              <w:t xml:space="preserve">that </w:t>
            </w:r>
            <w:r>
              <w:t>owns land on which a hotel project is located must be acting</w:t>
            </w:r>
            <w:r>
              <w:t xml:space="preserve"> in order</w:t>
            </w:r>
            <w:r>
              <w:t xml:space="preserve"> for the revenue derived from that project to be subject to the authorization</w:t>
            </w:r>
            <w:r>
              <w:t>.</w:t>
            </w:r>
            <w:r>
              <w:t xml:space="preserve"> The bill repeals the prohibition against an applicable municipality receiving or pledging re</w:t>
            </w:r>
            <w:r>
              <w:t xml:space="preserve">venue derived from the hotel occupancy </w:t>
            </w:r>
            <w:r>
              <w:t>tax</w:t>
            </w:r>
            <w:r>
              <w:t xml:space="preserve"> for a hotel project </w:t>
            </w:r>
            <w:r>
              <w:t xml:space="preserve">or the funds from the project </w:t>
            </w:r>
            <w:r>
              <w:t>unless the municipality enters into an agreement with a person for the development of the project before September 1, 2019.</w:t>
            </w:r>
          </w:p>
          <w:p w:rsidR="00AA5070" w:rsidRDefault="001569FC" w:rsidP="005519A8">
            <w:pPr>
              <w:pStyle w:val="Header"/>
              <w:tabs>
                <w:tab w:val="clear" w:pos="4320"/>
                <w:tab w:val="clear" w:pos="8640"/>
              </w:tabs>
              <w:jc w:val="both"/>
            </w:pPr>
          </w:p>
          <w:p w:rsidR="008F6729" w:rsidRDefault="001569FC" w:rsidP="005519A8">
            <w:pPr>
              <w:pStyle w:val="Header"/>
              <w:tabs>
                <w:tab w:val="clear" w:pos="4320"/>
                <w:tab w:val="clear" w:pos="8640"/>
              </w:tabs>
              <w:jc w:val="both"/>
            </w:pPr>
            <w:r>
              <w:t>H.B. 1557</w:t>
            </w:r>
            <w:r>
              <w:t xml:space="preserve">, with respect to the </w:t>
            </w:r>
            <w:r>
              <w:t xml:space="preserve">applicable </w:t>
            </w:r>
            <w:r>
              <w:t>reimbursement of state revenue used for a qualified hotel project</w:t>
            </w:r>
            <w:r>
              <w:t xml:space="preserve"> and as applicable to a municipality other than a municipality eligible to pledge revenue for a hotel project on January 1, 2019</w:t>
            </w:r>
            <w:r>
              <w:t xml:space="preserve">: </w:t>
            </w:r>
          </w:p>
          <w:p w:rsidR="008F6729" w:rsidRDefault="001569FC" w:rsidP="005519A8">
            <w:pPr>
              <w:pStyle w:val="Header"/>
              <w:numPr>
                <w:ilvl w:val="0"/>
                <w:numId w:val="4"/>
              </w:numPr>
              <w:tabs>
                <w:tab w:val="clear" w:pos="4320"/>
                <w:tab w:val="clear" w:pos="8640"/>
              </w:tabs>
              <w:spacing w:before="120" w:after="120"/>
              <w:jc w:val="both"/>
            </w:pPr>
            <w:r>
              <w:t>require</w:t>
            </w:r>
            <w:r>
              <w:t>s</w:t>
            </w:r>
            <w:r>
              <w:t xml:space="preserve"> a</w:t>
            </w:r>
            <w:r>
              <w:t>n applicable</w:t>
            </w:r>
            <w:r>
              <w:t xml:space="preserve"> municipality,</w:t>
            </w:r>
            <w:r>
              <w:t xml:space="preserve"> </w:t>
            </w:r>
            <w:r>
              <w:t>beginning on</w:t>
            </w:r>
            <w:r>
              <w:t xml:space="preserve"> the date</w:t>
            </w:r>
            <w:r>
              <w:t xml:space="preserve"> </w:t>
            </w:r>
            <w:r>
              <w:t>prescribed by the comptroller of public accounts, to annually send to the comptroller</w:t>
            </w:r>
            <w:r>
              <w:t xml:space="preserve"> </w:t>
            </w:r>
            <w:r>
              <w:t>a report that states</w:t>
            </w:r>
            <w:r>
              <w:t xml:space="preserve"> certain specific information relating to the municipality's tax revenues</w:t>
            </w:r>
            <w:r>
              <w:t>;</w:t>
            </w:r>
          </w:p>
          <w:p w:rsidR="008F6729" w:rsidRDefault="001569FC" w:rsidP="005519A8">
            <w:pPr>
              <w:pStyle w:val="Header"/>
              <w:numPr>
                <w:ilvl w:val="0"/>
                <w:numId w:val="4"/>
              </w:numPr>
              <w:tabs>
                <w:tab w:val="clear" w:pos="4320"/>
                <w:tab w:val="clear" w:pos="8640"/>
              </w:tabs>
              <w:spacing w:before="120" w:after="120"/>
              <w:jc w:val="both"/>
            </w:pPr>
            <w:r>
              <w:t xml:space="preserve">requires the comptroller to prescribe the form of the report and </w:t>
            </w:r>
            <w:r>
              <w:t>the date by which the report must be sent to the comptroller each year and authorizes the comptroller to prescribe the date on which a municipality may cease sending the report;</w:t>
            </w:r>
          </w:p>
          <w:p w:rsidR="008F6729" w:rsidRDefault="001569FC" w:rsidP="005519A8">
            <w:pPr>
              <w:pStyle w:val="Header"/>
              <w:numPr>
                <w:ilvl w:val="0"/>
                <w:numId w:val="4"/>
              </w:numPr>
              <w:tabs>
                <w:tab w:val="clear" w:pos="4320"/>
                <w:tab w:val="clear" w:pos="8640"/>
              </w:tabs>
              <w:spacing w:before="120" w:after="120"/>
              <w:jc w:val="both"/>
            </w:pPr>
            <w:r>
              <w:t xml:space="preserve">requires the comptroller, </w:t>
            </w:r>
            <w:r>
              <w:t xml:space="preserve">as soon as possible </w:t>
            </w:r>
            <w:r>
              <w:t xml:space="preserve">after receiving the report, </w:t>
            </w:r>
            <w:r>
              <w:t xml:space="preserve">to </w:t>
            </w:r>
            <w:r>
              <w:t>w</w:t>
            </w:r>
            <w:r>
              <w:t>ithhol</w:t>
            </w:r>
            <w:r>
              <w:t>d from the</w:t>
            </w:r>
            <w:r>
              <w:t xml:space="preserve"> applicable</w:t>
            </w:r>
            <w:r>
              <w:t xml:space="preserve"> municipality's share </w:t>
            </w:r>
            <w:r>
              <w:t>of mixed beverage taxes and sales and use taxes, for the next 12-month period, a total amount equal to the lesser of</w:t>
            </w:r>
            <w:r>
              <w:t xml:space="preserve"> </w:t>
            </w:r>
            <w:r>
              <w:t>the following:</w:t>
            </w:r>
          </w:p>
          <w:p w:rsidR="008F6729" w:rsidRDefault="001569FC" w:rsidP="005519A8">
            <w:pPr>
              <w:pStyle w:val="Header"/>
              <w:numPr>
                <w:ilvl w:val="1"/>
                <w:numId w:val="4"/>
              </w:numPr>
              <w:tabs>
                <w:tab w:val="clear" w:pos="4320"/>
                <w:tab w:val="clear" w:pos="8640"/>
              </w:tabs>
              <w:spacing w:before="120" w:after="120"/>
              <w:jc w:val="both"/>
            </w:pPr>
            <w:r>
              <w:t xml:space="preserve">the total amount of state tax revenue rebated, refunded, or paid </w:t>
            </w:r>
            <w:r>
              <w:t xml:space="preserve">in </w:t>
            </w:r>
            <w:r>
              <w:t>relati</w:t>
            </w:r>
            <w:r>
              <w:t>o</w:t>
            </w:r>
            <w:r>
              <w:t xml:space="preserve">n </w:t>
            </w:r>
            <w:r>
              <w:t xml:space="preserve">to </w:t>
            </w:r>
            <w:r>
              <w:t>municipal hotel occupancy tax revenue pledged for bonds for a</w:t>
            </w:r>
            <w:r>
              <w:t xml:space="preserve"> qualified hotel project as of the end of the reporting period for the report, less amounts previously withheld; or</w:t>
            </w:r>
          </w:p>
          <w:p w:rsidR="008F6729" w:rsidRDefault="001569FC" w:rsidP="005519A8">
            <w:pPr>
              <w:pStyle w:val="Header"/>
              <w:numPr>
                <w:ilvl w:val="1"/>
                <w:numId w:val="4"/>
              </w:numPr>
              <w:tabs>
                <w:tab w:val="clear" w:pos="4320"/>
                <w:tab w:val="clear" w:pos="8640"/>
              </w:tabs>
              <w:spacing w:before="120" w:after="120"/>
              <w:jc w:val="both"/>
            </w:pPr>
            <w:r>
              <w:t xml:space="preserve">the incremental increase in </w:t>
            </w:r>
            <w:r>
              <w:t xml:space="preserve">hotel </w:t>
            </w:r>
            <w:r>
              <w:t xml:space="preserve">occupancy tax revenue collected by the </w:t>
            </w:r>
            <w:r>
              <w:t>municipality during the reporting period;</w:t>
            </w:r>
          </w:p>
          <w:p w:rsidR="008F6729" w:rsidRDefault="001569FC" w:rsidP="005519A8">
            <w:pPr>
              <w:pStyle w:val="Header"/>
              <w:numPr>
                <w:ilvl w:val="0"/>
                <w:numId w:val="4"/>
              </w:numPr>
              <w:tabs>
                <w:tab w:val="clear" w:pos="4320"/>
                <w:tab w:val="clear" w:pos="8640"/>
              </w:tabs>
              <w:spacing w:before="120" w:after="120"/>
              <w:jc w:val="both"/>
            </w:pPr>
            <w:r>
              <w:t>authorizes a</w:t>
            </w:r>
            <w:r>
              <w:t>n applicable</w:t>
            </w:r>
            <w:r w:rsidRPr="005B7072">
              <w:t xml:space="preserve"> municipality </w:t>
            </w:r>
            <w:r>
              <w:t>to</w:t>
            </w:r>
            <w:r w:rsidRPr="005B7072">
              <w:t xml:space="preserve"> propose the manner in which the comptroller will withhold </w:t>
            </w:r>
            <w:r>
              <w:t xml:space="preserve">such an amount, </w:t>
            </w:r>
            <w:r w:rsidRPr="005B7072">
              <w:t>including the percentage to be deducted from each tax and the frequency of the deductions</w:t>
            </w:r>
            <w:r>
              <w:t>, and requ</w:t>
            </w:r>
            <w:r>
              <w:t>ires t</w:t>
            </w:r>
            <w:r w:rsidRPr="005B7072">
              <w:t xml:space="preserve">he comptroller </w:t>
            </w:r>
            <w:r>
              <w:t>to</w:t>
            </w:r>
            <w:r w:rsidRPr="005B7072">
              <w:t xml:space="preserve"> comply with the municipality's proposal if possible</w:t>
            </w:r>
            <w:r>
              <w:t>; and</w:t>
            </w:r>
          </w:p>
          <w:p w:rsidR="005F23DF" w:rsidRDefault="001569FC" w:rsidP="005519A8">
            <w:pPr>
              <w:pStyle w:val="Header"/>
              <w:numPr>
                <w:ilvl w:val="0"/>
                <w:numId w:val="4"/>
              </w:numPr>
              <w:tabs>
                <w:tab w:val="clear" w:pos="4320"/>
                <w:tab w:val="clear" w:pos="8640"/>
              </w:tabs>
              <w:spacing w:before="120" w:after="120"/>
              <w:jc w:val="both"/>
            </w:pPr>
            <w:r>
              <w:t>prohibits t</w:t>
            </w:r>
            <w:r w:rsidRPr="00F25C0B">
              <w:t xml:space="preserve">he total amount the comptroller </w:t>
            </w:r>
            <w:r>
              <w:t>is authorized to</w:t>
            </w:r>
            <w:r w:rsidRPr="00F25C0B">
              <w:t xml:space="preserve"> withhold </w:t>
            </w:r>
            <w:r>
              <w:t>from exceeding</w:t>
            </w:r>
            <w:r w:rsidRPr="00F25C0B">
              <w:t xml:space="preserve"> the total amount of state tax revenue rebated, refunded, or paid in relation to the qualifi</w:t>
            </w:r>
            <w:r w:rsidRPr="00F25C0B">
              <w:t>ed hotel project during the state financing period</w:t>
            </w:r>
            <w:r>
              <w:t xml:space="preserve"> and </w:t>
            </w:r>
            <w:r>
              <w:t>prohibits the</w:t>
            </w:r>
            <w:r w:rsidRPr="00F25C0B">
              <w:t xml:space="preserve"> period during which the comptroller </w:t>
            </w:r>
            <w:r>
              <w:t>is required to</w:t>
            </w:r>
            <w:r w:rsidRPr="00F25C0B">
              <w:t xml:space="preserve"> withhold amounts </w:t>
            </w:r>
            <w:r>
              <w:t>from</w:t>
            </w:r>
            <w:r w:rsidRPr="00F25C0B">
              <w:t xml:space="preserve"> exceed</w:t>
            </w:r>
            <w:r>
              <w:t>ing</w:t>
            </w:r>
            <w:r w:rsidRPr="00F25C0B">
              <w:t xml:space="preserve"> a period equal to the state financing period regardless of whether the amount withheld is less than the </w:t>
            </w:r>
            <w:r w:rsidRPr="00F25C0B">
              <w:t xml:space="preserve">total amount of state tax revenue rebated, refunded, or paid </w:t>
            </w:r>
            <w:r>
              <w:t>in relation</w:t>
            </w:r>
            <w:r w:rsidRPr="00F25C0B">
              <w:t xml:space="preserve"> to the qualified hotel project.</w:t>
            </w:r>
            <w:r w:rsidRPr="00530C93">
              <w:t xml:space="preserve"> </w:t>
            </w:r>
          </w:p>
          <w:p w:rsidR="005F23DF" w:rsidRDefault="001569FC" w:rsidP="005519A8">
            <w:pPr>
              <w:pStyle w:val="Header"/>
              <w:tabs>
                <w:tab w:val="clear" w:pos="4320"/>
                <w:tab w:val="clear" w:pos="8640"/>
              </w:tabs>
              <w:jc w:val="both"/>
            </w:pPr>
          </w:p>
          <w:p w:rsidR="00F25C0B" w:rsidRDefault="001569FC" w:rsidP="005519A8">
            <w:pPr>
              <w:pStyle w:val="Header"/>
              <w:tabs>
                <w:tab w:val="clear" w:pos="4320"/>
                <w:tab w:val="clear" w:pos="8640"/>
              </w:tabs>
              <w:jc w:val="both"/>
            </w:pPr>
            <w:r>
              <w:t xml:space="preserve">H.B. 1557 repeals </w:t>
            </w:r>
            <w:r w:rsidRPr="00E43EDD">
              <w:t>Sections 351.10</w:t>
            </w:r>
            <w:r>
              <w:t>2(c-1), (e), and (g), Tax Code</w:t>
            </w:r>
            <w:r>
              <w:t>.</w:t>
            </w:r>
          </w:p>
          <w:p w:rsidR="008423E4" w:rsidRPr="00835628" w:rsidRDefault="001569FC" w:rsidP="005519A8">
            <w:pPr>
              <w:rPr>
                <w:b/>
              </w:rPr>
            </w:pPr>
            <w:r>
              <w:rPr>
                <w:b/>
              </w:rPr>
              <w:t xml:space="preserve"> </w:t>
            </w:r>
          </w:p>
        </w:tc>
      </w:tr>
      <w:tr w:rsidR="00E03CB6" w:rsidTr="00DC1D88">
        <w:tc>
          <w:tcPr>
            <w:tcW w:w="9576" w:type="dxa"/>
          </w:tcPr>
          <w:p w:rsidR="008423E4" w:rsidRPr="00A8133F" w:rsidRDefault="001569FC" w:rsidP="005519A8">
            <w:pPr>
              <w:rPr>
                <w:b/>
              </w:rPr>
            </w:pPr>
            <w:r w:rsidRPr="009C1E9A">
              <w:rPr>
                <w:b/>
                <w:u w:val="single"/>
              </w:rPr>
              <w:t>EFFECTIVE DATE</w:t>
            </w:r>
            <w:r>
              <w:rPr>
                <w:b/>
              </w:rPr>
              <w:t xml:space="preserve"> </w:t>
            </w:r>
          </w:p>
          <w:p w:rsidR="008423E4" w:rsidRDefault="001569FC" w:rsidP="005519A8"/>
          <w:p w:rsidR="008423E4" w:rsidRPr="003624F2" w:rsidRDefault="001569FC" w:rsidP="005519A8">
            <w:pPr>
              <w:pStyle w:val="Header"/>
              <w:tabs>
                <w:tab w:val="clear" w:pos="4320"/>
                <w:tab w:val="clear" w:pos="8640"/>
              </w:tabs>
              <w:jc w:val="both"/>
            </w:pPr>
            <w:r>
              <w:t>On passage, or, if the bill does not receive the necessary vote, September 1, 2019.</w:t>
            </w:r>
          </w:p>
          <w:p w:rsidR="008423E4" w:rsidRPr="00233FDB" w:rsidRDefault="001569FC" w:rsidP="005519A8">
            <w:pPr>
              <w:rPr>
                <w:b/>
              </w:rPr>
            </w:pPr>
          </w:p>
        </w:tc>
      </w:tr>
    </w:tbl>
    <w:p w:rsidR="008423E4" w:rsidRPr="00BE0E75" w:rsidRDefault="001569FC" w:rsidP="008423E4">
      <w:pPr>
        <w:spacing w:line="480" w:lineRule="auto"/>
        <w:jc w:val="both"/>
        <w:rPr>
          <w:rFonts w:ascii="Arial" w:hAnsi="Arial"/>
          <w:sz w:val="16"/>
          <w:szCs w:val="16"/>
        </w:rPr>
      </w:pPr>
    </w:p>
    <w:p w:rsidR="004108C3" w:rsidRPr="008423E4" w:rsidRDefault="001569FC"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569FC">
      <w:r>
        <w:separator/>
      </w:r>
    </w:p>
  </w:endnote>
  <w:endnote w:type="continuationSeparator" w:id="0">
    <w:p w:rsidR="00000000" w:rsidRDefault="0015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D88" w:rsidRDefault="00156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03CB6" w:rsidTr="009C1E9A">
      <w:trPr>
        <w:cantSplit/>
      </w:trPr>
      <w:tc>
        <w:tcPr>
          <w:tcW w:w="0" w:type="pct"/>
        </w:tcPr>
        <w:p w:rsidR="00DC1D88" w:rsidRDefault="001569FC" w:rsidP="009C1E9A">
          <w:pPr>
            <w:pStyle w:val="Footer"/>
            <w:tabs>
              <w:tab w:val="clear" w:pos="8640"/>
              <w:tab w:val="right" w:pos="9360"/>
            </w:tabs>
          </w:pPr>
        </w:p>
      </w:tc>
      <w:tc>
        <w:tcPr>
          <w:tcW w:w="2395" w:type="pct"/>
        </w:tcPr>
        <w:p w:rsidR="00DC1D88" w:rsidRDefault="001569FC" w:rsidP="009C1E9A">
          <w:pPr>
            <w:pStyle w:val="Footer"/>
            <w:tabs>
              <w:tab w:val="clear" w:pos="8640"/>
              <w:tab w:val="right" w:pos="9360"/>
            </w:tabs>
          </w:pPr>
        </w:p>
        <w:p w:rsidR="00DC1D88" w:rsidRDefault="001569FC" w:rsidP="009C1E9A">
          <w:pPr>
            <w:pStyle w:val="Footer"/>
            <w:tabs>
              <w:tab w:val="clear" w:pos="8640"/>
              <w:tab w:val="right" w:pos="9360"/>
            </w:tabs>
          </w:pPr>
        </w:p>
        <w:p w:rsidR="00DC1D88" w:rsidRDefault="001569FC" w:rsidP="009C1E9A">
          <w:pPr>
            <w:pStyle w:val="Footer"/>
            <w:tabs>
              <w:tab w:val="clear" w:pos="8640"/>
              <w:tab w:val="right" w:pos="9360"/>
            </w:tabs>
          </w:pPr>
        </w:p>
      </w:tc>
      <w:tc>
        <w:tcPr>
          <w:tcW w:w="2453" w:type="pct"/>
        </w:tcPr>
        <w:p w:rsidR="00DC1D88" w:rsidRDefault="001569FC" w:rsidP="009C1E9A">
          <w:pPr>
            <w:pStyle w:val="Footer"/>
            <w:tabs>
              <w:tab w:val="clear" w:pos="8640"/>
              <w:tab w:val="right" w:pos="9360"/>
            </w:tabs>
            <w:jc w:val="right"/>
          </w:pPr>
        </w:p>
      </w:tc>
    </w:tr>
    <w:tr w:rsidR="00E03CB6" w:rsidTr="009C1E9A">
      <w:trPr>
        <w:cantSplit/>
      </w:trPr>
      <w:tc>
        <w:tcPr>
          <w:tcW w:w="0" w:type="pct"/>
        </w:tcPr>
        <w:p w:rsidR="00DC1D88" w:rsidRDefault="001569FC" w:rsidP="009C1E9A">
          <w:pPr>
            <w:pStyle w:val="Footer"/>
            <w:tabs>
              <w:tab w:val="clear" w:pos="8640"/>
              <w:tab w:val="right" w:pos="9360"/>
            </w:tabs>
          </w:pPr>
        </w:p>
      </w:tc>
      <w:tc>
        <w:tcPr>
          <w:tcW w:w="2395" w:type="pct"/>
        </w:tcPr>
        <w:p w:rsidR="00DC1D88" w:rsidRPr="009C1E9A" w:rsidRDefault="001569FC" w:rsidP="009C1E9A">
          <w:pPr>
            <w:pStyle w:val="Footer"/>
            <w:tabs>
              <w:tab w:val="clear" w:pos="8640"/>
              <w:tab w:val="right" w:pos="9360"/>
            </w:tabs>
            <w:rPr>
              <w:rFonts w:ascii="Shruti" w:hAnsi="Shruti"/>
              <w:sz w:val="22"/>
            </w:rPr>
          </w:pPr>
          <w:r>
            <w:rPr>
              <w:rFonts w:ascii="Shruti" w:hAnsi="Shruti"/>
              <w:sz w:val="22"/>
            </w:rPr>
            <w:t>86R 25131</w:t>
          </w:r>
        </w:p>
      </w:tc>
      <w:tc>
        <w:tcPr>
          <w:tcW w:w="2453" w:type="pct"/>
        </w:tcPr>
        <w:p w:rsidR="00DC1D88" w:rsidRDefault="001569FC" w:rsidP="009C1E9A">
          <w:pPr>
            <w:pStyle w:val="Footer"/>
            <w:tabs>
              <w:tab w:val="clear" w:pos="8640"/>
              <w:tab w:val="right" w:pos="9360"/>
            </w:tabs>
            <w:jc w:val="right"/>
          </w:pPr>
          <w:r>
            <w:fldChar w:fldCharType="begin"/>
          </w:r>
          <w:r>
            <w:instrText xml:space="preserve"> DOCPROPERTY  OTID  \* MERGEFORMAT </w:instrText>
          </w:r>
          <w:r>
            <w:fldChar w:fldCharType="separate"/>
          </w:r>
          <w:r>
            <w:t>19.98.956</w:t>
          </w:r>
          <w:r>
            <w:fldChar w:fldCharType="end"/>
          </w:r>
        </w:p>
      </w:tc>
    </w:tr>
    <w:tr w:rsidR="00E03CB6" w:rsidTr="009C1E9A">
      <w:trPr>
        <w:cantSplit/>
      </w:trPr>
      <w:tc>
        <w:tcPr>
          <w:tcW w:w="0" w:type="pct"/>
        </w:tcPr>
        <w:p w:rsidR="00DC1D88" w:rsidRDefault="001569FC" w:rsidP="009C1E9A">
          <w:pPr>
            <w:pStyle w:val="Footer"/>
            <w:tabs>
              <w:tab w:val="clear" w:pos="4320"/>
              <w:tab w:val="clear" w:pos="8640"/>
              <w:tab w:val="left" w:pos="2865"/>
            </w:tabs>
          </w:pPr>
        </w:p>
      </w:tc>
      <w:tc>
        <w:tcPr>
          <w:tcW w:w="2395" w:type="pct"/>
        </w:tcPr>
        <w:p w:rsidR="00DC1D88" w:rsidRPr="009C1E9A" w:rsidRDefault="001569FC" w:rsidP="009C1E9A">
          <w:pPr>
            <w:pStyle w:val="Footer"/>
            <w:tabs>
              <w:tab w:val="clear" w:pos="4320"/>
              <w:tab w:val="clear" w:pos="8640"/>
              <w:tab w:val="left" w:pos="2865"/>
            </w:tabs>
            <w:rPr>
              <w:rFonts w:ascii="Shruti" w:hAnsi="Shruti"/>
              <w:sz w:val="22"/>
            </w:rPr>
          </w:pPr>
        </w:p>
      </w:tc>
      <w:tc>
        <w:tcPr>
          <w:tcW w:w="2453" w:type="pct"/>
        </w:tcPr>
        <w:p w:rsidR="00DC1D88" w:rsidRDefault="001569FC" w:rsidP="006D504F">
          <w:pPr>
            <w:pStyle w:val="Footer"/>
            <w:rPr>
              <w:rStyle w:val="PageNumber"/>
            </w:rPr>
          </w:pPr>
        </w:p>
        <w:p w:rsidR="00DC1D88" w:rsidRDefault="001569FC" w:rsidP="009C1E9A">
          <w:pPr>
            <w:pStyle w:val="Footer"/>
            <w:tabs>
              <w:tab w:val="clear" w:pos="8640"/>
              <w:tab w:val="right" w:pos="9360"/>
            </w:tabs>
            <w:jc w:val="right"/>
          </w:pPr>
        </w:p>
      </w:tc>
    </w:tr>
    <w:tr w:rsidR="00E03CB6" w:rsidTr="009C1E9A">
      <w:trPr>
        <w:cantSplit/>
        <w:trHeight w:val="323"/>
      </w:trPr>
      <w:tc>
        <w:tcPr>
          <w:tcW w:w="0" w:type="pct"/>
          <w:gridSpan w:val="3"/>
        </w:tcPr>
        <w:p w:rsidR="00DC1D88" w:rsidRDefault="001569F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C1D88" w:rsidRDefault="001569FC" w:rsidP="009C1E9A">
          <w:pPr>
            <w:pStyle w:val="Footer"/>
            <w:tabs>
              <w:tab w:val="clear" w:pos="8640"/>
              <w:tab w:val="right" w:pos="9360"/>
            </w:tabs>
            <w:jc w:val="center"/>
          </w:pPr>
        </w:p>
      </w:tc>
    </w:tr>
  </w:tbl>
  <w:p w:rsidR="00DC1D88" w:rsidRPr="00FF6F72" w:rsidRDefault="001569F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D88" w:rsidRDefault="00156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569FC">
      <w:r>
        <w:separator/>
      </w:r>
    </w:p>
  </w:footnote>
  <w:footnote w:type="continuationSeparator" w:id="0">
    <w:p w:rsidR="00000000" w:rsidRDefault="00156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D88" w:rsidRDefault="00156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D88" w:rsidRDefault="00156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D88" w:rsidRDefault="00156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B24DB"/>
    <w:multiLevelType w:val="hybridMultilevel"/>
    <w:tmpl w:val="BD48F860"/>
    <w:lvl w:ilvl="0" w:tplc="7A9E622E">
      <w:start w:val="1"/>
      <w:numFmt w:val="bullet"/>
      <w:lvlText w:val=""/>
      <w:lvlJc w:val="left"/>
      <w:pPr>
        <w:ind w:left="720" w:hanging="360"/>
      </w:pPr>
      <w:rPr>
        <w:rFonts w:ascii="Symbol" w:hAnsi="Symbol" w:hint="default"/>
      </w:rPr>
    </w:lvl>
    <w:lvl w:ilvl="1" w:tplc="0A1C1216" w:tentative="1">
      <w:start w:val="1"/>
      <w:numFmt w:val="bullet"/>
      <w:lvlText w:val="o"/>
      <w:lvlJc w:val="left"/>
      <w:pPr>
        <w:ind w:left="1440" w:hanging="360"/>
      </w:pPr>
      <w:rPr>
        <w:rFonts w:ascii="Courier New" w:hAnsi="Courier New" w:cs="Courier New" w:hint="default"/>
      </w:rPr>
    </w:lvl>
    <w:lvl w:ilvl="2" w:tplc="34005AE8" w:tentative="1">
      <w:start w:val="1"/>
      <w:numFmt w:val="bullet"/>
      <w:lvlText w:val=""/>
      <w:lvlJc w:val="left"/>
      <w:pPr>
        <w:ind w:left="2160" w:hanging="360"/>
      </w:pPr>
      <w:rPr>
        <w:rFonts w:ascii="Wingdings" w:hAnsi="Wingdings" w:hint="default"/>
      </w:rPr>
    </w:lvl>
    <w:lvl w:ilvl="3" w:tplc="FAB22F20" w:tentative="1">
      <w:start w:val="1"/>
      <w:numFmt w:val="bullet"/>
      <w:lvlText w:val=""/>
      <w:lvlJc w:val="left"/>
      <w:pPr>
        <w:ind w:left="2880" w:hanging="360"/>
      </w:pPr>
      <w:rPr>
        <w:rFonts w:ascii="Symbol" w:hAnsi="Symbol" w:hint="default"/>
      </w:rPr>
    </w:lvl>
    <w:lvl w:ilvl="4" w:tplc="39CCBFA2" w:tentative="1">
      <w:start w:val="1"/>
      <w:numFmt w:val="bullet"/>
      <w:lvlText w:val="o"/>
      <w:lvlJc w:val="left"/>
      <w:pPr>
        <w:ind w:left="3600" w:hanging="360"/>
      </w:pPr>
      <w:rPr>
        <w:rFonts w:ascii="Courier New" w:hAnsi="Courier New" w:cs="Courier New" w:hint="default"/>
      </w:rPr>
    </w:lvl>
    <w:lvl w:ilvl="5" w:tplc="1B169D74" w:tentative="1">
      <w:start w:val="1"/>
      <w:numFmt w:val="bullet"/>
      <w:lvlText w:val=""/>
      <w:lvlJc w:val="left"/>
      <w:pPr>
        <w:ind w:left="4320" w:hanging="360"/>
      </w:pPr>
      <w:rPr>
        <w:rFonts w:ascii="Wingdings" w:hAnsi="Wingdings" w:hint="default"/>
      </w:rPr>
    </w:lvl>
    <w:lvl w:ilvl="6" w:tplc="F496D9AA" w:tentative="1">
      <w:start w:val="1"/>
      <w:numFmt w:val="bullet"/>
      <w:lvlText w:val=""/>
      <w:lvlJc w:val="left"/>
      <w:pPr>
        <w:ind w:left="5040" w:hanging="360"/>
      </w:pPr>
      <w:rPr>
        <w:rFonts w:ascii="Symbol" w:hAnsi="Symbol" w:hint="default"/>
      </w:rPr>
    </w:lvl>
    <w:lvl w:ilvl="7" w:tplc="07604484" w:tentative="1">
      <w:start w:val="1"/>
      <w:numFmt w:val="bullet"/>
      <w:lvlText w:val="o"/>
      <w:lvlJc w:val="left"/>
      <w:pPr>
        <w:ind w:left="5760" w:hanging="360"/>
      </w:pPr>
      <w:rPr>
        <w:rFonts w:ascii="Courier New" w:hAnsi="Courier New" w:cs="Courier New" w:hint="default"/>
      </w:rPr>
    </w:lvl>
    <w:lvl w:ilvl="8" w:tplc="F75AD040" w:tentative="1">
      <w:start w:val="1"/>
      <w:numFmt w:val="bullet"/>
      <w:lvlText w:val=""/>
      <w:lvlJc w:val="left"/>
      <w:pPr>
        <w:ind w:left="6480" w:hanging="360"/>
      </w:pPr>
      <w:rPr>
        <w:rFonts w:ascii="Wingdings" w:hAnsi="Wingdings" w:hint="default"/>
      </w:rPr>
    </w:lvl>
  </w:abstractNum>
  <w:abstractNum w:abstractNumId="1" w15:restartNumberingAfterBreak="0">
    <w:nsid w:val="28324CDA"/>
    <w:multiLevelType w:val="hybridMultilevel"/>
    <w:tmpl w:val="3B080EA8"/>
    <w:lvl w:ilvl="0" w:tplc="46CA1628">
      <w:start w:val="1"/>
      <w:numFmt w:val="bullet"/>
      <w:lvlText w:val=""/>
      <w:lvlJc w:val="left"/>
      <w:pPr>
        <w:ind w:left="720" w:hanging="360"/>
      </w:pPr>
      <w:rPr>
        <w:rFonts w:ascii="Symbol" w:hAnsi="Symbol" w:hint="default"/>
      </w:rPr>
    </w:lvl>
    <w:lvl w:ilvl="1" w:tplc="42309326" w:tentative="1">
      <w:start w:val="1"/>
      <w:numFmt w:val="bullet"/>
      <w:lvlText w:val="o"/>
      <w:lvlJc w:val="left"/>
      <w:pPr>
        <w:ind w:left="1440" w:hanging="360"/>
      </w:pPr>
      <w:rPr>
        <w:rFonts w:ascii="Courier New" w:hAnsi="Courier New" w:cs="Courier New" w:hint="default"/>
      </w:rPr>
    </w:lvl>
    <w:lvl w:ilvl="2" w:tplc="8B86F446" w:tentative="1">
      <w:start w:val="1"/>
      <w:numFmt w:val="bullet"/>
      <w:lvlText w:val=""/>
      <w:lvlJc w:val="left"/>
      <w:pPr>
        <w:ind w:left="2160" w:hanging="360"/>
      </w:pPr>
      <w:rPr>
        <w:rFonts w:ascii="Wingdings" w:hAnsi="Wingdings" w:hint="default"/>
      </w:rPr>
    </w:lvl>
    <w:lvl w:ilvl="3" w:tplc="B076256C" w:tentative="1">
      <w:start w:val="1"/>
      <w:numFmt w:val="bullet"/>
      <w:lvlText w:val=""/>
      <w:lvlJc w:val="left"/>
      <w:pPr>
        <w:ind w:left="2880" w:hanging="360"/>
      </w:pPr>
      <w:rPr>
        <w:rFonts w:ascii="Symbol" w:hAnsi="Symbol" w:hint="default"/>
      </w:rPr>
    </w:lvl>
    <w:lvl w:ilvl="4" w:tplc="26C81032" w:tentative="1">
      <w:start w:val="1"/>
      <w:numFmt w:val="bullet"/>
      <w:lvlText w:val="o"/>
      <w:lvlJc w:val="left"/>
      <w:pPr>
        <w:ind w:left="3600" w:hanging="360"/>
      </w:pPr>
      <w:rPr>
        <w:rFonts w:ascii="Courier New" w:hAnsi="Courier New" w:cs="Courier New" w:hint="default"/>
      </w:rPr>
    </w:lvl>
    <w:lvl w:ilvl="5" w:tplc="CF323F8E" w:tentative="1">
      <w:start w:val="1"/>
      <w:numFmt w:val="bullet"/>
      <w:lvlText w:val=""/>
      <w:lvlJc w:val="left"/>
      <w:pPr>
        <w:ind w:left="4320" w:hanging="360"/>
      </w:pPr>
      <w:rPr>
        <w:rFonts w:ascii="Wingdings" w:hAnsi="Wingdings" w:hint="default"/>
      </w:rPr>
    </w:lvl>
    <w:lvl w:ilvl="6" w:tplc="98BCF100" w:tentative="1">
      <w:start w:val="1"/>
      <w:numFmt w:val="bullet"/>
      <w:lvlText w:val=""/>
      <w:lvlJc w:val="left"/>
      <w:pPr>
        <w:ind w:left="5040" w:hanging="360"/>
      </w:pPr>
      <w:rPr>
        <w:rFonts w:ascii="Symbol" w:hAnsi="Symbol" w:hint="default"/>
      </w:rPr>
    </w:lvl>
    <w:lvl w:ilvl="7" w:tplc="22F0C492" w:tentative="1">
      <w:start w:val="1"/>
      <w:numFmt w:val="bullet"/>
      <w:lvlText w:val="o"/>
      <w:lvlJc w:val="left"/>
      <w:pPr>
        <w:ind w:left="5760" w:hanging="360"/>
      </w:pPr>
      <w:rPr>
        <w:rFonts w:ascii="Courier New" w:hAnsi="Courier New" w:cs="Courier New" w:hint="default"/>
      </w:rPr>
    </w:lvl>
    <w:lvl w:ilvl="8" w:tplc="9DA0B022" w:tentative="1">
      <w:start w:val="1"/>
      <w:numFmt w:val="bullet"/>
      <w:lvlText w:val=""/>
      <w:lvlJc w:val="left"/>
      <w:pPr>
        <w:ind w:left="6480" w:hanging="360"/>
      </w:pPr>
      <w:rPr>
        <w:rFonts w:ascii="Wingdings" w:hAnsi="Wingdings" w:hint="default"/>
      </w:rPr>
    </w:lvl>
  </w:abstractNum>
  <w:abstractNum w:abstractNumId="2" w15:restartNumberingAfterBreak="0">
    <w:nsid w:val="66F34C46"/>
    <w:multiLevelType w:val="hybridMultilevel"/>
    <w:tmpl w:val="E7100278"/>
    <w:lvl w:ilvl="0" w:tplc="3B7A329C">
      <w:start w:val="1"/>
      <w:numFmt w:val="bullet"/>
      <w:lvlText w:val="o"/>
      <w:lvlJc w:val="left"/>
      <w:pPr>
        <w:ind w:left="1440" w:hanging="360"/>
      </w:pPr>
      <w:rPr>
        <w:rFonts w:ascii="Courier New" w:hAnsi="Courier New" w:cs="Courier New" w:hint="default"/>
      </w:rPr>
    </w:lvl>
    <w:lvl w:ilvl="1" w:tplc="178A8BAC" w:tentative="1">
      <w:start w:val="1"/>
      <w:numFmt w:val="bullet"/>
      <w:lvlText w:val="o"/>
      <w:lvlJc w:val="left"/>
      <w:pPr>
        <w:ind w:left="2160" w:hanging="360"/>
      </w:pPr>
      <w:rPr>
        <w:rFonts w:ascii="Courier New" w:hAnsi="Courier New" w:cs="Courier New" w:hint="default"/>
      </w:rPr>
    </w:lvl>
    <w:lvl w:ilvl="2" w:tplc="E43ED0EC" w:tentative="1">
      <w:start w:val="1"/>
      <w:numFmt w:val="bullet"/>
      <w:lvlText w:val=""/>
      <w:lvlJc w:val="left"/>
      <w:pPr>
        <w:ind w:left="2880" w:hanging="360"/>
      </w:pPr>
      <w:rPr>
        <w:rFonts w:ascii="Wingdings" w:hAnsi="Wingdings" w:hint="default"/>
      </w:rPr>
    </w:lvl>
    <w:lvl w:ilvl="3" w:tplc="978E8C6E" w:tentative="1">
      <w:start w:val="1"/>
      <w:numFmt w:val="bullet"/>
      <w:lvlText w:val=""/>
      <w:lvlJc w:val="left"/>
      <w:pPr>
        <w:ind w:left="3600" w:hanging="360"/>
      </w:pPr>
      <w:rPr>
        <w:rFonts w:ascii="Symbol" w:hAnsi="Symbol" w:hint="default"/>
      </w:rPr>
    </w:lvl>
    <w:lvl w:ilvl="4" w:tplc="C812FD42" w:tentative="1">
      <w:start w:val="1"/>
      <w:numFmt w:val="bullet"/>
      <w:lvlText w:val="o"/>
      <w:lvlJc w:val="left"/>
      <w:pPr>
        <w:ind w:left="4320" w:hanging="360"/>
      </w:pPr>
      <w:rPr>
        <w:rFonts w:ascii="Courier New" w:hAnsi="Courier New" w:cs="Courier New" w:hint="default"/>
      </w:rPr>
    </w:lvl>
    <w:lvl w:ilvl="5" w:tplc="5B9E511A" w:tentative="1">
      <w:start w:val="1"/>
      <w:numFmt w:val="bullet"/>
      <w:lvlText w:val=""/>
      <w:lvlJc w:val="left"/>
      <w:pPr>
        <w:ind w:left="5040" w:hanging="360"/>
      </w:pPr>
      <w:rPr>
        <w:rFonts w:ascii="Wingdings" w:hAnsi="Wingdings" w:hint="default"/>
      </w:rPr>
    </w:lvl>
    <w:lvl w:ilvl="6" w:tplc="D790591A" w:tentative="1">
      <w:start w:val="1"/>
      <w:numFmt w:val="bullet"/>
      <w:lvlText w:val=""/>
      <w:lvlJc w:val="left"/>
      <w:pPr>
        <w:ind w:left="5760" w:hanging="360"/>
      </w:pPr>
      <w:rPr>
        <w:rFonts w:ascii="Symbol" w:hAnsi="Symbol" w:hint="default"/>
      </w:rPr>
    </w:lvl>
    <w:lvl w:ilvl="7" w:tplc="A3D8388C" w:tentative="1">
      <w:start w:val="1"/>
      <w:numFmt w:val="bullet"/>
      <w:lvlText w:val="o"/>
      <w:lvlJc w:val="left"/>
      <w:pPr>
        <w:ind w:left="6480" w:hanging="360"/>
      </w:pPr>
      <w:rPr>
        <w:rFonts w:ascii="Courier New" w:hAnsi="Courier New" w:cs="Courier New" w:hint="default"/>
      </w:rPr>
    </w:lvl>
    <w:lvl w:ilvl="8" w:tplc="9E244298" w:tentative="1">
      <w:start w:val="1"/>
      <w:numFmt w:val="bullet"/>
      <w:lvlText w:val=""/>
      <w:lvlJc w:val="left"/>
      <w:pPr>
        <w:ind w:left="7200" w:hanging="360"/>
      </w:pPr>
      <w:rPr>
        <w:rFonts w:ascii="Wingdings" w:hAnsi="Wingdings" w:hint="default"/>
      </w:rPr>
    </w:lvl>
  </w:abstractNum>
  <w:abstractNum w:abstractNumId="3" w15:restartNumberingAfterBreak="0">
    <w:nsid w:val="714E1D03"/>
    <w:multiLevelType w:val="hybridMultilevel"/>
    <w:tmpl w:val="526E9734"/>
    <w:lvl w:ilvl="0" w:tplc="4FCEE4A8">
      <w:start w:val="1"/>
      <w:numFmt w:val="bullet"/>
      <w:lvlText w:val=""/>
      <w:lvlJc w:val="left"/>
      <w:pPr>
        <w:tabs>
          <w:tab w:val="num" w:pos="720"/>
        </w:tabs>
        <w:ind w:left="720" w:hanging="360"/>
      </w:pPr>
      <w:rPr>
        <w:rFonts w:ascii="Symbol" w:hAnsi="Symbol" w:hint="default"/>
      </w:rPr>
    </w:lvl>
    <w:lvl w:ilvl="1" w:tplc="AFF6F404">
      <w:start w:val="1"/>
      <w:numFmt w:val="bullet"/>
      <w:lvlText w:val="o"/>
      <w:lvlJc w:val="left"/>
      <w:pPr>
        <w:ind w:left="1440" w:hanging="360"/>
      </w:pPr>
      <w:rPr>
        <w:rFonts w:ascii="Courier New" w:hAnsi="Courier New" w:cs="Courier New" w:hint="default"/>
      </w:rPr>
    </w:lvl>
    <w:lvl w:ilvl="2" w:tplc="F0381D38" w:tentative="1">
      <w:start w:val="1"/>
      <w:numFmt w:val="bullet"/>
      <w:lvlText w:val=""/>
      <w:lvlJc w:val="left"/>
      <w:pPr>
        <w:ind w:left="2160" w:hanging="360"/>
      </w:pPr>
      <w:rPr>
        <w:rFonts w:ascii="Wingdings" w:hAnsi="Wingdings" w:hint="default"/>
      </w:rPr>
    </w:lvl>
    <w:lvl w:ilvl="3" w:tplc="306CF414" w:tentative="1">
      <w:start w:val="1"/>
      <w:numFmt w:val="bullet"/>
      <w:lvlText w:val=""/>
      <w:lvlJc w:val="left"/>
      <w:pPr>
        <w:ind w:left="2880" w:hanging="360"/>
      </w:pPr>
      <w:rPr>
        <w:rFonts w:ascii="Symbol" w:hAnsi="Symbol" w:hint="default"/>
      </w:rPr>
    </w:lvl>
    <w:lvl w:ilvl="4" w:tplc="4FBC77DC" w:tentative="1">
      <w:start w:val="1"/>
      <w:numFmt w:val="bullet"/>
      <w:lvlText w:val="o"/>
      <w:lvlJc w:val="left"/>
      <w:pPr>
        <w:ind w:left="3600" w:hanging="360"/>
      </w:pPr>
      <w:rPr>
        <w:rFonts w:ascii="Courier New" w:hAnsi="Courier New" w:cs="Courier New" w:hint="default"/>
      </w:rPr>
    </w:lvl>
    <w:lvl w:ilvl="5" w:tplc="BCE29A4E" w:tentative="1">
      <w:start w:val="1"/>
      <w:numFmt w:val="bullet"/>
      <w:lvlText w:val=""/>
      <w:lvlJc w:val="left"/>
      <w:pPr>
        <w:ind w:left="4320" w:hanging="360"/>
      </w:pPr>
      <w:rPr>
        <w:rFonts w:ascii="Wingdings" w:hAnsi="Wingdings" w:hint="default"/>
      </w:rPr>
    </w:lvl>
    <w:lvl w:ilvl="6" w:tplc="196C9AD8" w:tentative="1">
      <w:start w:val="1"/>
      <w:numFmt w:val="bullet"/>
      <w:lvlText w:val=""/>
      <w:lvlJc w:val="left"/>
      <w:pPr>
        <w:ind w:left="5040" w:hanging="360"/>
      </w:pPr>
      <w:rPr>
        <w:rFonts w:ascii="Symbol" w:hAnsi="Symbol" w:hint="default"/>
      </w:rPr>
    </w:lvl>
    <w:lvl w:ilvl="7" w:tplc="E0E657A2" w:tentative="1">
      <w:start w:val="1"/>
      <w:numFmt w:val="bullet"/>
      <w:lvlText w:val="o"/>
      <w:lvlJc w:val="left"/>
      <w:pPr>
        <w:ind w:left="5760" w:hanging="360"/>
      </w:pPr>
      <w:rPr>
        <w:rFonts w:ascii="Courier New" w:hAnsi="Courier New" w:cs="Courier New" w:hint="default"/>
      </w:rPr>
    </w:lvl>
    <w:lvl w:ilvl="8" w:tplc="5A607E52"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B6"/>
    <w:rsid w:val="001569FC"/>
    <w:rsid w:val="00E0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E0AB59-2DB9-47DD-A9E4-4911A946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C7FA6"/>
    <w:rPr>
      <w:sz w:val="16"/>
      <w:szCs w:val="16"/>
    </w:rPr>
  </w:style>
  <w:style w:type="paragraph" w:styleId="CommentText">
    <w:name w:val="annotation text"/>
    <w:basedOn w:val="Normal"/>
    <w:link w:val="CommentTextChar"/>
    <w:unhideWhenUsed/>
    <w:rsid w:val="000C7FA6"/>
    <w:rPr>
      <w:sz w:val="20"/>
      <w:szCs w:val="20"/>
    </w:rPr>
  </w:style>
  <w:style w:type="character" w:customStyle="1" w:styleId="CommentTextChar">
    <w:name w:val="Comment Text Char"/>
    <w:basedOn w:val="DefaultParagraphFont"/>
    <w:link w:val="CommentText"/>
    <w:rsid w:val="000C7FA6"/>
  </w:style>
  <w:style w:type="paragraph" w:styleId="CommentSubject">
    <w:name w:val="annotation subject"/>
    <w:basedOn w:val="CommentText"/>
    <w:next w:val="CommentText"/>
    <w:link w:val="CommentSubjectChar"/>
    <w:semiHidden/>
    <w:unhideWhenUsed/>
    <w:rsid w:val="000C7FA6"/>
    <w:rPr>
      <w:b/>
      <w:bCs/>
    </w:rPr>
  </w:style>
  <w:style w:type="character" w:customStyle="1" w:styleId="CommentSubjectChar">
    <w:name w:val="Comment Subject Char"/>
    <w:basedOn w:val="CommentTextChar"/>
    <w:link w:val="CommentSubject"/>
    <w:semiHidden/>
    <w:rsid w:val="000C7F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4027</Characters>
  <Application>Microsoft Office Word</Application>
  <DocSecurity>4</DocSecurity>
  <Lines>86</Lines>
  <Paragraphs>25</Paragraphs>
  <ScaleCrop>false</ScaleCrop>
  <HeadingPairs>
    <vt:vector size="2" baseType="variant">
      <vt:variant>
        <vt:lpstr>Title</vt:lpstr>
      </vt:variant>
      <vt:variant>
        <vt:i4>1</vt:i4>
      </vt:variant>
    </vt:vector>
  </HeadingPairs>
  <TitlesOfParts>
    <vt:vector size="1" baseType="lpstr">
      <vt:lpstr>BA - HB01557 (Committee Report (Unamended))</vt:lpstr>
    </vt:vector>
  </TitlesOfParts>
  <Company>State of Texas</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25131</dc:subject>
  <dc:creator>State of Texas</dc:creator>
  <dc:description>HB 1557 by Springer-(H)Ways &amp; Means</dc:description>
  <cp:lastModifiedBy>Damian Duarte</cp:lastModifiedBy>
  <cp:revision>2</cp:revision>
  <cp:lastPrinted>2003-11-26T17:21:00Z</cp:lastPrinted>
  <dcterms:created xsi:type="dcterms:W3CDTF">2019-04-28T20:36:00Z</dcterms:created>
  <dcterms:modified xsi:type="dcterms:W3CDTF">2019-04-28T20:36:00Z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19.98.956</vt:lpwstr>
  </property>
</Properties>
</file>