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5E51" w:rsidTr="00345119">
        <w:tc>
          <w:tcPr>
            <w:tcW w:w="9576" w:type="dxa"/>
            <w:noWrap/>
          </w:tcPr>
          <w:p w:rsidR="008423E4" w:rsidRPr="0022177D" w:rsidRDefault="00BF6C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6C0E" w:rsidP="008423E4">
      <w:pPr>
        <w:jc w:val="center"/>
      </w:pPr>
    </w:p>
    <w:p w:rsidR="008423E4" w:rsidRPr="00B31F0E" w:rsidRDefault="00BF6C0E" w:rsidP="008423E4"/>
    <w:p w:rsidR="008423E4" w:rsidRPr="00742794" w:rsidRDefault="00BF6C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5E51" w:rsidTr="00345119">
        <w:tc>
          <w:tcPr>
            <w:tcW w:w="9576" w:type="dxa"/>
          </w:tcPr>
          <w:p w:rsidR="008423E4" w:rsidRPr="00861995" w:rsidRDefault="00BF6C0E" w:rsidP="00345119">
            <w:pPr>
              <w:jc w:val="right"/>
            </w:pPr>
            <w:r>
              <w:t>C.S.H.B. 1590</w:t>
            </w:r>
          </w:p>
        </w:tc>
      </w:tr>
      <w:tr w:rsidR="00285E51" w:rsidTr="00345119">
        <w:tc>
          <w:tcPr>
            <w:tcW w:w="9576" w:type="dxa"/>
          </w:tcPr>
          <w:p w:rsidR="008423E4" w:rsidRPr="00861995" w:rsidRDefault="00BF6C0E" w:rsidP="00911895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285E51" w:rsidTr="00345119">
        <w:tc>
          <w:tcPr>
            <w:tcW w:w="9576" w:type="dxa"/>
          </w:tcPr>
          <w:p w:rsidR="008423E4" w:rsidRPr="00861995" w:rsidRDefault="00BF6C0E" w:rsidP="00345119">
            <w:pPr>
              <w:jc w:val="right"/>
            </w:pPr>
            <w:r>
              <w:t>Homeland Security &amp; Public Safety</w:t>
            </w:r>
          </w:p>
        </w:tc>
      </w:tr>
      <w:tr w:rsidR="00285E51" w:rsidTr="00345119">
        <w:tc>
          <w:tcPr>
            <w:tcW w:w="9576" w:type="dxa"/>
          </w:tcPr>
          <w:p w:rsidR="008423E4" w:rsidRDefault="00BF6C0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F6C0E" w:rsidP="008423E4">
      <w:pPr>
        <w:tabs>
          <w:tab w:val="right" w:pos="9360"/>
        </w:tabs>
      </w:pPr>
    </w:p>
    <w:p w:rsidR="008423E4" w:rsidRDefault="00BF6C0E" w:rsidP="008423E4"/>
    <w:p w:rsidR="008423E4" w:rsidRDefault="00BF6C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85E51" w:rsidTr="00345119">
        <w:tc>
          <w:tcPr>
            <w:tcW w:w="9576" w:type="dxa"/>
          </w:tcPr>
          <w:p w:rsidR="008423E4" w:rsidRPr="00A8133F" w:rsidRDefault="00BF6C0E" w:rsidP="000651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6C0E" w:rsidP="000651DC"/>
          <w:p w:rsidR="008423E4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while there are many</w:t>
            </w:r>
            <w:r>
              <w:t xml:space="preserve"> services </w:t>
            </w:r>
            <w:r>
              <w:t xml:space="preserve">devoted to addressing </w:t>
            </w:r>
            <w:r>
              <w:t xml:space="preserve">the needs of </w:t>
            </w:r>
            <w:r>
              <w:t>sexual assault survivors in</w:t>
            </w:r>
            <w:r>
              <w:t xml:space="preserve"> Texas</w:t>
            </w:r>
            <w:r>
              <w:t xml:space="preserve">, </w:t>
            </w:r>
            <w:r>
              <w:t>not enough is being done to ensure coordination and cooperation among service providers and that the services provided are adequate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1590 seeks to </w:t>
            </w:r>
            <w:r>
              <w:t>address those issues</w:t>
            </w:r>
            <w:r>
              <w:t xml:space="preserve"> by establishing the </w:t>
            </w:r>
            <w:r w:rsidRPr="00301D93">
              <w:t>Sexual Assault Survivors' Task Force</w:t>
            </w:r>
            <w:r>
              <w:t>.</w:t>
            </w:r>
            <w:r>
              <w:t xml:space="preserve"> </w:t>
            </w:r>
          </w:p>
          <w:p w:rsidR="0089502E" w:rsidRPr="00E26B13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85E51" w:rsidTr="00345119">
        <w:tc>
          <w:tcPr>
            <w:tcW w:w="9576" w:type="dxa"/>
          </w:tcPr>
          <w:p w:rsidR="0017725B" w:rsidRDefault="00BF6C0E" w:rsidP="000651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BF6C0E" w:rsidP="000651DC">
            <w:pPr>
              <w:rPr>
                <w:b/>
                <w:u w:val="single"/>
              </w:rPr>
            </w:pPr>
          </w:p>
          <w:p w:rsidR="009E29A3" w:rsidRPr="009E29A3" w:rsidRDefault="00BF6C0E" w:rsidP="000651D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4A45F8" w:rsidRDefault="00BF6C0E" w:rsidP="000651DC">
            <w:pPr>
              <w:rPr>
                <w:b/>
                <w:sz w:val="22"/>
                <w:u w:val="single"/>
              </w:rPr>
            </w:pPr>
          </w:p>
        </w:tc>
      </w:tr>
      <w:tr w:rsidR="00285E51" w:rsidTr="00345119">
        <w:tc>
          <w:tcPr>
            <w:tcW w:w="9576" w:type="dxa"/>
          </w:tcPr>
          <w:p w:rsidR="008423E4" w:rsidRPr="00A8133F" w:rsidRDefault="00BF6C0E" w:rsidP="000651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4A45F8" w:rsidRDefault="00BF6C0E" w:rsidP="000651DC">
            <w:pPr>
              <w:rPr>
                <w:sz w:val="22"/>
              </w:rPr>
            </w:pPr>
          </w:p>
          <w:p w:rsidR="009E29A3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4A45F8" w:rsidRDefault="00BF6C0E" w:rsidP="000651DC">
            <w:pPr>
              <w:rPr>
                <w:b/>
                <w:sz w:val="22"/>
              </w:rPr>
            </w:pPr>
          </w:p>
        </w:tc>
      </w:tr>
      <w:tr w:rsidR="00285E51" w:rsidTr="00345119">
        <w:tc>
          <w:tcPr>
            <w:tcW w:w="9576" w:type="dxa"/>
          </w:tcPr>
          <w:p w:rsidR="008423E4" w:rsidRPr="00A8133F" w:rsidRDefault="00BF6C0E" w:rsidP="000651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A45F8" w:rsidRDefault="00BF6C0E" w:rsidP="000651DC">
            <w:pPr>
              <w:rPr>
                <w:sz w:val="22"/>
              </w:rPr>
            </w:pPr>
          </w:p>
          <w:p w:rsidR="00540101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1590 amends the Government Code to require the governor to </w:t>
            </w:r>
            <w:r>
              <w:t xml:space="preserve">establish </w:t>
            </w:r>
            <w:r>
              <w:t xml:space="preserve">the </w:t>
            </w:r>
            <w:r>
              <w:t xml:space="preserve">Sexual Assault Survivors' Task Force </w:t>
            </w:r>
            <w:r>
              <w:t>within the criminal justice division</w:t>
            </w:r>
            <w:r>
              <w:t xml:space="preserve"> </w:t>
            </w:r>
            <w:r>
              <w:t xml:space="preserve">of </w:t>
            </w:r>
            <w:r>
              <w:t>the governor's office</w:t>
            </w:r>
            <w:r>
              <w:t xml:space="preserve">. The bill </w:t>
            </w:r>
            <w:r>
              <w:t xml:space="preserve">establishes </w:t>
            </w:r>
            <w:r>
              <w:t>that the presiding body of the task force is a</w:t>
            </w:r>
            <w:r>
              <w:t xml:space="preserve"> three-memb</w:t>
            </w:r>
            <w:r>
              <w:t>er</w:t>
            </w:r>
            <w:r>
              <w:t xml:space="preserve"> steering committee </w:t>
            </w:r>
            <w:r>
              <w:t xml:space="preserve">and </w:t>
            </w:r>
            <w:r>
              <w:t xml:space="preserve">sets out </w:t>
            </w:r>
            <w:r>
              <w:t>the composition of the task force and th</w:t>
            </w:r>
            <w:r>
              <w:t>e</w:t>
            </w:r>
            <w:r>
              <w:t xml:space="preserve"> steering committee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provides for the appointment of certain task force members,</w:t>
            </w:r>
            <w:r>
              <w:t xml:space="preserve"> </w:t>
            </w:r>
            <w:r>
              <w:t xml:space="preserve">establishes that an appointed member </w:t>
            </w:r>
            <w:r>
              <w:t>s</w:t>
            </w:r>
            <w:r>
              <w:t xml:space="preserve">erves at the pleasure of the </w:t>
            </w:r>
            <w:r>
              <w:t xml:space="preserve">appointing </w:t>
            </w:r>
            <w:r>
              <w:t>official</w:t>
            </w:r>
            <w:r>
              <w:t>,</w:t>
            </w:r>
            <w:r>
              <w:t xml:space="preserve"> an</w:t>
            </w:r>
            <w:r>
              <w:t>d</w:t>
            </w:r>
            <w:r>
              <w:t xml:space="preserve"> requires the task force to meet at the call of the </w:t>
            </w:r>
            <w:r>
              <w:t>steering committee</w:t>
            </w:r>
            <w:r>
              <w:t xml:space="preserve">. </w:t>
            </w:r>
          </w:p>
          <w:p w:rsidR="00540101" w:rsidRPr="004A45F8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B76D90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1590</w:t>
            </w:r>
            <w:r>
              <w:t xml:space="preserve"> sets out the duties of the steering committee with respect</w:t>
            </w:r>
            <w:r>
              <w:t xml:space="preserve"> to </w:t>
            </w:r>
            <w:r>
              <w:t xml:space="preserve">the </w:t>
            </w:r>
            <w:r>
              <w:t>task force,</w:t>
            </w:r>
            <w:r>
              <w:t xml:space="preserve"> which include among other duties,</w:t>
            </w:r>
            <w:r>
              <w:t xml:space="preserve"> the</w:t>
            </w:r>
            <w:r>
              <w:t xml:space="preserve"> creat</w:t>
            </w:r>
            <w:r>
              <w:t>ion</w:t>
            </w:r>
            <w:r>
              <w:t xml:space="preserve"> </w:t>
            </w:r>
            <w:r>
              <w:t>within the task force of</w:t>
            </w:r>
            <w:r>
              <w:t xml:space="preserve"> working groups focusing on survivors who are children and who are adults. The bill requires t</w:t>
            </w:r>
            <w:r w:rsidRPr="00540101">
              <w:t xml:space="preserve">he working group focusing on survivors who are children </w:t>
            </w:r>
            <w:r>
              <w:t>to</w:t>
            </w:r>
            <w:r w:rsidRPr="00540101">
              <w:t xml:space="preserve"> collect data on the rate of pregnancy among children 14 years of age and younger</w:t>
            </w:r>
            <w:r>
              <w:t>.</w:t>
            </w:r>
          </w:p>
          <w:p w:rsidR="00540101" w:rsidRPr="004A45F8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270957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1590 sets o</w:t>
            </w:r>
            <w:r>
              <w:t>ut the duties of the task force,</w:t>
            </w:r>
            <w:r>
              <w:t xml:space="preserve"> which</w:t>
            </w:r>
            <w:r>
              <w:t xml:space="preserve"> </w:t>
            </w:r>
            <w:r>
              <w:t>includ</w:t>
            </w:r>
            <w:r>
              <w:t>e among other duties,</w:t>
            </w:r>
            <w:r>
              <w:t xml:space="preserve"> </w:t>
            </w:r>
            <w:r w:rsidRPr="00B76D90">
              <w:t>biennially contract</w:t>
            </w:r>
            <w:r>
              <w:t>ing</w:t>
            </w:r>
            <w:r w:rsidRPr="00B76D90">
              <w:t xml:space="preserve"> for a survey of the resources provided to survivors by nonprofit organizations, health</w:t>
            </w:r>
            <w:r>
              <w:t> </w:t>
            </w:r>
            <w:r w:rsidRPr="00B76D90">
              <w:t>care facilities, institutions of higher education, sexual assault response team</w:t>
            </w:r>
            <w:r w:rsidRPr="00B76D90">
              <w:t xml:space="preserve">s, and other governmental entities in each region of </w:t>
            </w:r>
            <w:r>
              <w:t>Texas</w:t>
            </w:r>
            <w:r>
              <w:t>, and</w:t>
            </w:r>
            <w:r>
              <w:t xml:space="preserve"> </w:t>
            </w:r>
            <w:r>
              <w:t xml:space="preserve">requires the </w:t>
            </w:r>
            <w:r>
              <w:t>task force</w:t>
            </w:r>
            <w:r>
              <w:t xml:space="preserve">, </w:t>
            </w:r>
            <w:r w:rsidRPr="00EF244D">
              <w:t>not later than November 1 of each even</w:t>
            </w:r>
            <w:r>
              <w:noBreakHyphen/>
            </w:r>
            <w:r w:rsidRPr="00EF244D">
              <w:t>numbered year</w:t>
            </w:r>
            <w:r>
              <w:t>,</w:t>
            </w:r>
            <w:r>
              <w:t xml:space="preserve"> to</w:t>
            </w:r>
            <w:r>
              <w:t xml:space="preserve"> analyze the data from the</w:t>
            </w:r>
            <w:r>
              <w:t xml:space="preserve"> </w:t>
            </w:r>
            <w:r>
              <w:t>survey</w:t>
            </w:r>
            <w:r>
              <w:t xml:space="preserve"> and</w:t>
            </w:r>
            <w:r>
              <w:t xml:space="preserve"> </w:t>
            </w:r>
            <w:r>
              <w:t>prepare</w:t>
            </w:r>
            <w:r>
              <w:t xml:space="preserve"> </w:t>
            </w:r>
            <w:r>
              <w:t>a report</w:t>
            </w:r>
            <w:r>
              <w:t>,</w:t>
            </w:r>
            <w:r>
              <w:t xml:space="preserve"> </w:t>
            </w:r>
            <w:r>
              <w:t>or contract with a private entity for the preparation o</w:t>
            </w:r>
            <w:r>
              <w:t xml:space="preserve">f </w:t>
            </w:r>
            <w:r>
              <w:t>a report</w:t>
            </w:r>
            <w:r>
              <w:t>,</w:t>
            </w:r>
            <w:r>
              <w:t xml:space="preserve"> to submit</w:t>
            </w:r>
            <w:r>
              <w:t xml:space="preserve"> to the legislature</w:t>
            </w:r>
            <w:r>
              <w:t xml:space="preserve">. The bill </w:t>
            </w:r>
            <w:r>
              <w:t>requires the</w:t>
            </w:r>
            <w:r>
              <w:t xml:space="preserve"> report</w:t>
            </w:r>
            <w:r>
              <w:t xml:space="preserve"> to include:</w:t>
            </w:r>
          </w:p>
          <w:p w:rsidR="00270957" w:rsidRDefault="00BF6C0E" w:rsidP="000651D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description of </w:t>
            </w:r>
            <w:r>
              <w:t xml:space="preserve">the </w:t>
            </w:r>
            <w:r>
              <w:t xml:space="preserve">resources provided to child and adult survivors by </w:t>
            </w:r>
            <w:r>
              <w:t xml:space="preserve">those </w:t>
            </w:r>
            <w:r>
              <w:t xml:space="preserve">entities and of the differences between those </w:t>
            </w:r>
            <w:r>
              <w:t>resources</w:t>
            </w:r>
            <w:r>
              <w:t xml:space="preserve"> and the statewide standard</w:t>
            </w:r>
            <w:r>
              <w:t>;</w:t>
            </w:r>
            <w:r>
              <w:t xml:space="preserve"> </w:t>
            </w:r>
          </w:p>
          <w:p w:rsidR="00270957" w:rsidRDefault="00BF6C0E" w:rsidP="000651D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recommenda</w:t>
            </w:r>
            <w:r>
              <w:t>tions</w:t>
            </w:r>
            <w:r>
              <w:t xml:space="preserve"> on measures to be taken by the state and each region to better comply with that standard</w:t>
            </w:r>
            <w:r>
              <w:t>;</w:t>
            </w:r>
            <w:r>
              <w:t xml:space="preserve"> </w:t>
            </w:r>
          </w:p>
          <w:p w:rsidR="00270957" w:rsidRDefault="00BF6C0E" w:rsidP="000651D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certain funding-related information</w:t>
            </w:r>
            <w:r>
              <w:t>;</w:t>
            </w:r>
          </w:p>
          <w:p w:rsidR="00B13311" w:rsidRDefault="00BF6C0E" w:rsidP="000651D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rate of pregnancy</w:t>
            </w:r>
            <w:r>
              <w:t xml:space="preserve"> among children 14 years of age and younger and recommendations for reducing pregnancy in children caused by sexual assault or other sex offenses provided by the applicable working group; and</w:t>
            </w:r>
          </w:p>
          <w:p w:rsidR="00270957" w:rsidRDefault="00BF6C0E" w:rsidP="004A45F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recommendations for accomplishing policy goals.</w:t>
            </w:r>
          </w:p>
          <w:p w:rsidR="00B13311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8423E4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1590</w:t>
            </w:r>
            <w:r>
              <w:t xml:space="preserve"> requires all recommendation</w:t>
            </w:r>
            <w:r>
              <w:t>s</w:t>
            </w:r>
            <w:r>
              <w:t>, standard</w:t>
            </w:r>
            <w:r>
              <w:t>s</w:t>
            </w:r>
            <w:r>
              <w:t xml:space="preserve">, and resource information provided by the </w:t>
            </w:r>
            <w:r>
              <w:t>task force</w:t>
            </w:r>
            <w:r>
              <w:t>, to the extent possible,</w:t>
            </w:r>
            <w:r>
              <w:t xml:space="preserve"> to be evidence-based and consistent with standards of practice and care in Texas and throughout the country. The bill requires the </w:t>
            </w:r>
            <w:r>
              <w:t>task f</w:t>
            </w:r>
            <w:r>
              <w:t xml:space="preserve">orce </w:t>
            </w:r>
            <w:r>
              <w:t xml:space="preserve">to use </w:t>
            </w:r>
            <w:r>
              <w:t xml:space="preserve">any available federal or state </w:t>
            </w:r>
            <w:r>
              <w:t>funding for purposes of the bill's provisions</w:t>
            </w:r>
            <w:r>
              <w:t xml:space="preserve"> relating to the task force, which</w:t>
            </w:r>
            <w:r>
              <w:t xml:space="preserve"> expire September 1, 2023.</w:t>
            </w:r>
          </w:p>
          <w:p w:rsidR="009E29A3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16DFC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1590 </w:t>
            </w:r>
            <w:r>
              <w:t xml:space="preserve">expands the group of individuals and entities </w:t>
            </w:r>
            <w:r>
              <w:t>with which the attorney general is required to</w:t>
            </w:r>
            <w:r>
              <w:t xml:space="preserve"> consult in implementing </w:t>
            </w:r>
            <w:r>
              <w:t>the S</w:t>
            </w:r>
            <w:r>
              <w:t xml:space="preserve">exual </w:t>
            </w:r>
            <w:r>
              <w:t>A</w:t>
            </w:r>
            <w:r>
              <w:t xml:space="preserve">ssault </w:t>
            </w:r>
            <w:r>
              <w:t>P</w:t>
            </w:r>
            <w:r>
              <w:t xml:space="preserve">revention and </w:t>
            </w:r>
            <w:r>
              <w:t>C</w:t>
            </w:r>
            <w:r>
              <w:t xml:space="preserve">risis </w:t>
            </w:r>
            <w:r>
              <w:t>S</w:t>
            </w:r>
            <w:r>
              <w:t>ervices</w:t>
            </w:r>
            <w:r>
              <w:t xml:space="preserve"> Act by including</w:t>
            </w:r>
            <w:r>
              <w:t>:</w:t>
            </w:r>
            <w:r>
              <w:t xml:space="preserve"> </w:t>
            </w:r>
          </w:p>
          <w:p w:rsidR="00116DFC" w:rsidRDefault="00BF6C0E" w:rsidP="000651D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state sexual assault coalitions; </w:t>
            </w:r>
          </w:p>
          <w:p w:rsidR="005C26EE" w:rsidRDefault="00BF6C0E" w:rsidP="000651D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state agencies, task forces, and councils that have duties relating to the prevention, investigation, or prosecution of sexual a</w:t>
            </w:r>
            <w:r>
              <w:t>ssault or other sex offenses or services provided to survivors;</w:t>
            </w:r>
          </w:p>
          <w:p w:rsidR="005C26EE" w:rsidRDefault="00BF6C0E" w:rsidP="000651D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forensic science experts; and</w:t>
            </w:r>
          </w:p>
          <w:p w:rsidR="005C26EE" w:rsidRDefault="00BF6C0E" w:rsidP="000651D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individuals </w:t>
            </w:r>
            <w:r w:rsidRPr="005C26EE">
              <w:t>and organizations having knowledge and experience relating to the issues of sex offenses</w:t>
            </w:r>
            <w:r>
              <w:t>.</w:t>
            </w:r>
          </w:p>
          <w:p w:rsidR="009E29A3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</w:t>
            </w:r>
            <w:r>
              <w:t xml:space="preserve"> </w:t>
            </w:r>
            <w:r>
              <w:t xml:space="preserve">the attorney general </w:t>
            </w:r>
            <w:r>
              <w:t xml:space="preserve">to </w:t>
            </w:r>
            <w:r>
              <w:t xml:space="preserve">consult </w:t>
            </w:r>
            <w:r>
              <w:t>with those</w:t>
            </w:r>
            <w:r>
              <w:t xml:space="preserve"> individuals and </w:t>
            </w:r>
            <w:r>
              <w:t>entities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 xml:space="preserve">developing </w:t>
            </w:r>
            <w:r>
              <w:t xml:space="preserve">an evidence </w:t>
            </w:r>
            <w:r>
              <w:t xml:space="preserve">collection kit and protocol </w:t>
            </w:r>
            <w:r>
              <w:t>for distribution</w:t>
            </w:r>
            <w:r>
              <w:t xml:space="preserve"> </w:t>
            </w:r>
            <w:r>
              <w:t xml:space="preserve">to law enforcement </w:t>
            </w:r>
            <w:r>
              <w:t xml:space="preserve">agencies </w:t>
            </w:r>
            <w:r>
              <w:t>and proper medical personnel</w:t>
            </w:r>
            <w:r>
              <w:t>.</w:t>
            </w:r>
          </w:p>
          <w:p w:rsidR="004B0884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0884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1590 amends the Occupations Code to require </w:t>
            </w:r>
            <w:r>
              <w:t>the Texas Commission on Law Enforcement</w:t>
            </w:r>
            <w:r>
              <w:t xml:space="preserve"> (TCOLE)</w:t>
            </w:r>
            <w:r>
              <w:t xml:space="preserve"> </w:t>
            </w:r>
            <w:r>
              <w:t xml:space="preserve">to consult with the </w:t>
            </w:r>
            <w:r>
              <w:t>t</w:t>
            </w:r>
            <w:r>
              <w:t xml:space="preserve">ask </w:t>
            </w:r>
            <w:r>
              <w:t>f</w:t>
            </w:r>
            <w:r>
              <w:t>orce</w:t>
            </w:r>
            <w:r>
              <w:t xml:space="preserve"> regarding minimum curriculum requirements for </w:t>
            </w:r>
            <w:r>
              <w:t xml:space="preserve">law enforcement officer </w:t>
            </w:r>
            <w:r>
              <w:t>training in the investigation and documentation of cases that involve sexual assault or other sex offenses.</w:t>
            </w:r>
            <w:r>
              <w:t xml:space="preserve"> Th</w:t>
            </w:r>
            <w:r>
              <w:t xml:space="preserve">is </w:t>
            </w:r>
            <w:r>
              <w:t>requirement expires September 1, 2023.</w:t>
            </w:r>
            <w:r>
              <w:t xml:space="preserve">   </w:t>
            </w:r>
            <w:r>
              <w:t xml:space="preserve">     </w:t>
            </w:r>
          </w:p>
          <w:p w:rsidR="008423E4" w:rsidRPr="00835628" w:rsidRDefault="00BF6C0E" w:rsidP="000651DC">
            <w:pPr>
              <w:rPr>
                <w:b/>
              </w:rPr>
            </w:pPr>
          </w:p>
        </w:tc>
      </w:tr>
      <w:tr w:rsidR="00285E51" w:rsidTr="00345119">
        <w:tc>
          <w:tcPr>
            <w:tcW w:w="9576" w:type="dxa"/>
          </w:tcPr>
          <w:p w:rsidR="008423E4" w:rsidRPr="00A8133F" w:rsidRDefault="00BF6C0E" w:rsidP="000651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4A45F8" w:rsidRDefault="00BF6C0E" w:rsidP="000651DC">
            <w:pPr>
              <w:rPr>
                <w:sz w:val="22"/>
              </w:rPr>
            </w:pPr>
          </w:p>
          <w:p w:rsidR="008423E4" w:rsidRPr="003624F2" w:rsidRDefault="00BF6C0E" w:rsidP="00065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4A45F8" w:rsidRDefault="00BF6C0E" w:rsidP="000651DC">
            <w:pPr>
              <w:rPr>
                <w:b/>
                <w:sz w:val="22"/>
              </w:rPr>
            </w:pPr>
          </w:p>
        </w:tc>
      </w:tr>
      <w:tr w:rsidR="00285E51" w:rsidTr="00345119">
        <w:tc>
          <w:tcPr>
            <w:tcW w:w="9576" w:type="dxa"/>
          </w:tcPr>
          <w:p w:rsidR="00911895" w:rsidRDefault="00BF6C0E" w:rsidP="000651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76222" w:rsidRPr="004A45F8" w:rsidRDefault="00BF6C0E" w:rsidP="000651DC">
            <w:pPr>
              <w:jc w:val="both"/>
              <w:rPr>
                <w:sz w:val="22"/>
              </w:rPr>
            </w:pPr>
          </w:p>
          <w:p w:rsidR="00D76222" w:rsidRDefault="00BF6C0E" w:rsidP="000651DC">
            <w:pPr>
              <w:jc w:val="both"/>
            </w:pPr>
            <w:r>
              <w:t>While C.S.H.B. 1590 may differ from the original in minor or nonsubstantive ways, the following summarizes</w:t>
            </w:r>
            <w:r>
              <w:t xml:space="preserve"> the substantial differences between the introduced and committee substitute versions of the bill.</w:t>
            </w:r>
          </w:p>
          <w:p w:rsidR="00D76222" w:rsidRPr="004A45F8" w:rsidRDefault="00BF6C0E" w:rsidP="000651DC">
            <w:pPr>
              <w:jc w:val="both"/>
              <w:rPr>
                <w:sz w:val="20"/>
              </w:rPr>
            </w:pPr>
          </w:p>
          <w:p w:rsidR="0040471D" w:rsidRDefault="00BF6C0E" w:rsidP="000651DC">
            <w:pPr>
              <w:jc w:val="both"/>
            </w:pPr>
            <w:r>
              <w:t xml:space="preserve">The substitute does not include </w:t>
            </w:r>
            <w:r>
              <w:t xml:space="preserve">provisions </w:t>
            </w:r>
            <w:r>
              <w:t>creatin</w:t>
            </w:r>
            <w:r>
              <w:t>g</w:t>
            </w:r>
            <w:r>
              <w:t xml:space="preserve"> the Office for Sexual Assault for Survivor Assistance</w:t>
            </w:r>
            <w:r>
              <w:t xml:space="preserve"> within the criminal justice division of the govern</w:t>
            </w:r>
            <w:r>
              <w:t>or's office, but the</w:t>
            </w:r>
            <w:r>
              <w:t xml:space="preserve"> substitute</w:t>
            </w:r>
            <w:r>
              <w:t xml:space="preserve"> includes </w:t>
            </w:r>
            <w:r>
              <w:t>provisions</w:t>
            </w:r>
            <w:r>
              <w:t>, set to expire September 1, 2023,</w:t>
            </w:r>
            <w:r>
              <w:t xml:space="preserve"> </w:t>
            </w:r>
            <w:r>
              <w:t>creating instead</w:t>
            </w:r>
            <w:r>
              <w:t xml:space="preserve"> the Sexual Assault Survivor's Task Force </w:t>
            </w:r>
            <w:r>
              <w:t>within the division, which</w:t>
            </w:r>
            <w:r>
              <w:t xml:space="preserve"> </w:t>
            </w:r>
            <w:r>
              <w:t xml:space="preserve">is tasked with many </w:t>
            </w:r>
            <w:r>
              <w:t>of the same duties as the office</w:t>
            </w:r>
            <w:r>
              <w:t xml:space="preserve"> and</w:t>
            </w:r>
            <w:r>
              <w:t xml:space="preserve"> </w:t>
            </w:r>
            <w:r>
              <w:t xml:space="preserve">is </w:t>
            </w:r>
            <w:r>
              <w:t xml:space="preserve">required to </w:t>
            </w:r>
            <w:r>
              <w:t xml:space="preserve">prepare, or contract for </w:t>
            </w:r>
            <w:r>
              <w:t xml:space="preserve">the </w:t>
            </w:r>
            <w:r>
              <w:t xml:space="preserve">preparation of, and </w:t>
            </w:r>
            <w:r>
              <w:t>submit</w:t>
            </w:r>
            <w:r>
              <w:t xml:space="preserve"> a </w:t>
            </w:r>
            <w:r>
              <w:t xml:space="preserve">similar </w:t>
            </w:r>
            <w:r>
              <w:t>biennial report</w:t>
            </w:r>
            <w:r>
              <w:t xml:space="preserve"> to the legislature</w:t>
            </w:r>
            <w:r>
              <w:t>.</w:t>
            </w:r>
            <w:r>
              <w:t xml:space="preserve"> </w:t>
            </w:r>
            <w:r>
              <w:t>The substitute changes from the office to the task force the entity with whom TCOLE must consult regarding certain law enforcement officer training requir</w:t>
            </w:r>
            <w:r>
              <w:t>ements.</w:t>
            </w:r>
          </w:p>
          <w:p w:rsidR="0040471D" w:rsidRPr="004A45F8" w:rsidRDefault="00BF6C0E" w:rsidP="000651DC">
            <w:pPr>
              <w:jc w:val="both"/>
              <w:rPr>
                <w:sz w:val="20"/>
              </w:rPr>
            </w:pPr>
          </w:p>
          <w:p w:rsidR="00B8024F" w:rsidRDefault="00BF6C0E" w:rsidP="000651DC">
            <w:pPr>
              <w:jc w:val="both"/>
            </w:pPr>
            <w:r>
              <w:t>The substitute does not require the division to use funding received under the federal Victims of Crime Act of 1984 for the purposes of the office</w:t>
            </w:r>
            <w:r>
              <w:t xml:space="preserve"> </w:t>
            </w:r>
            <w:r>
              <w:t xml:space="preserve">but requires the task force instead to use any available federal or state funding for its purposes. </w:t>
            </w:r>
            <w:r>
              <w:t xml:space="preserve">The substitute </w:t>
            </w:r>
            <w:r>
              <w:t>set</w:t>
            </w:r>
            <w:r>
              <w:t>s</w:t>
            </w:r>
            <w:r>
              <w:t xml:space="preserve"> </w:t>
            </w:r>
            <w:r>
              <w:t xml:space="preserve">the provisions </w:t>
            </w:r>
            <w:r>
              <w:t>relating to</w:t>
            </w:r>
            <w:r>
              <w:t xml:space="preserve"> the task force </w:t>
            </w:r>
            <w:r>
              <w:t>to expire September 1, 2023.</w:t>
            </w:r>
          </w:p>
          <w:p w:rsidR="00B8024F" w:rsidRDefault="00BF6C0E" w:rsidP="000651DC">
            <w:pPr>
              <w:jc w:val="both"/>
            </w:pPr>
          </w:p>
          <w:p w:rsidR="00B8024F" w:rsidRDefault="00BF6C0E" w:rsidP="000651DC">
            <w:pPr>
              <w:jc w:val="both"/>
            </w:pPr>
            <w:r>
              <w:t>The substitute does not include a provision providing for the office's advice to the attorney general in adopting rules necessary to implement the Sexual Assault Pr</w:t>
            </w:r>
            <w:r>
              <w:t>evention and Crisis Services Act</w:t>
            </w:r>
            <w:r>
              <w:t>,</w:t>
            </w:r>
            <w:r>
              <w:t xml:space="preserve"> but the substitute includes provisions </w:t>
            </w:r>
            <w:r>
              <w:t xml:space="preserve">instead </w:t>
            </w:r>
            <w:r>
              <w:t>expanding the group of individuals and entities with whom the attorney general must consult in imp</w:t>
            </w:r>
            <w:r>
              <w:t>lementing the act.</w:t>
            </w:r>
            <w:r>
              <w:t xml:space="preserve"> </w:t>
            </w:r>
            <w:r>
              <w:t>The substitute changes from the office to those individual</w:t>
            </w:r>
            <w:r>
              <w:t>s and entities th</w:t>
            </w:r>
            <w:r>
              <w:t>e parties</w:t>
            </w:r>
            <w:r>
              <w:t xml:space="preserve"> with whom the attorney general must consult </w:t>
            </w:r>
            <w:r>
              <w:t xml:space="preserve">with </w:t>
            </w:r>
            <w:r>
              <w:t xml:space="preserve">in developing a related evidence collection kit and protocol. </w:t>
            </w:r>
          </w:p>
          <w:p w:rsidR="00E167F0" w:rsidRDefault="00BF6C0E" w:rsidP="000651DC">
            <w:pPr>
              <w:jc w:val="both"/>
            </w:pPr>
          </w:p>
          <w:p w:rsidR="00D76222" w:rsidRPr="00AA4872" w:rsidRDefault="00BF6C0E" w:rsidP="000651DC">
            <w:pPr>
              <w:jc w:val="both"/>
            </w:pPr>
          </w:p>
        </w:tc>
      </w:tr>
      <w:tr w:rsidR="00285E51" w:rsidTr="00345119">
        <w:tc>
          <w:tcPr>
            <w:tcW w:w="9576" w:type="dxa"/>
          </w:tcPr>
          <w:p w:rsidR="00911895" w:rsidRPr="009C1E9A" w:rsidRDefault="00BF6C0E" w:rsidP="000651DC">
            <w:pPr>
              <w:rPr>
                <w:b/>
                <w:u w:val="single"/>
              </w:rPr>
            </w:pPr>
          </w:p>
        </w:tc>
      </w:tr>
      <w:tr w:rsidR="00285E51" w:rsidTr="00345119">
        <w:tc>
          <w:tcPr>
            <w:tcW w:w="9576" w:type="dxa"/>
          </w:tcPr>
          <w:p w:rsidR="00911895" w:rsidRPr="00911895" w:rsidRDefault="00BF6C0E" w:rsidP="000651DC">
            <w:pPr>
              <w:jc w:val="both"/>
            </w:pPr>
          </w:p>
        </w:tc>
      </w:tr>
    </w:tbl>
    <w:p w:rsidR="008423E4" w:rsidRPr="00BE0E75" w:rsidRDefault="00BF6C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6C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6C0E">
      <w:r>
        <w:separator/>
      </w:r>
    </w:p>
  </w:endnote>
  <w:endnote w:type="continuationSeparator" w:id="0">
    <w:p w:rsidR="00000000" w:rsidRDefault="00B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5E51" w:rsidTr="009C1E9A">
      <w:trPr>
        <w:cantSplit/>
      </w:trPr>
      <w:tc>
        <w:tcPr>
          <w:tcW w:w="0" w:type="pct"/>
        </w:tcPr>
        <w:p w:rsidR="00137D90" w:rsidRDefault="00BF6C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6C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6C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6C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6C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E51" w:rsidTr="009C1E9A">
      <w:trPr>
        <w:cantSplit/>
      </w:trPr>
      <w:tc>
        <w:tcPr>
          <w:tcW w:w="0" w:type="pct"/>
        </w:tcPr>
        <w:p w:rsidR="00EC379B" w:rsidRDefault="00BF6C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6C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28863</w:t>
          </w:r>
        </w:p>
      </w:tc>
      <w:tc>
        <w:tcPr>
          <w:tcW w:w="2453" w:type="pct"/>
        </w:tcPr>
        <w:p w:rsidR="00EC379B" w:rsidRDefault="00BF6C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19.112.1207</w:t>
          </w:r>
          <w:r>
            <w:fldChar w:fldCharType="end"/>
          </w:r>
        </w:p>
      </w:tc>
    </w:tr>
    <w:tr w:rsidR="00285E51" w:rsidTr="009C1E9A">
      <w:trPr>
        <w:cantSplit/>
      </w:trPr>
      <w:tc>
        <w:tcPr>
          <w:tcW w:w="0" w:type="pct"/>
        </w:tcPr>
        <w:p w:rsidR="00EC379B" w:rsidRDefault="00BF6C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6C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25832</w:t>
          </w:r>
        </w:p>
      </w:tc>
      <w:tc>
        <w:tcPr>
          <w:tcW w:w="2453" w:type="pct"/>
        </w:tcPr>
        <w:p w:rsidR="00EC379B" w:rsidRDefault="00BF6C0E" w:rsidP="006D504F">
          <w:pPr>
            <w:pStyle w:val="Footer"/>
            <w:rPr>
              <w:rStyle w:val="PageNumber"/>
            </w:rPr>
          </w:pPr>
        </w:p>
        <w:p w:rsidR="00EC379B" w:rsidRDefault="00BF6C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E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6C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BF6C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6C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6C0E">
      <w:r>
        <w:separator/>
      </w:r>
    </w:p>
  </w:footnote>
  <w:footnote w:type="continuationSeparator" w:id="0">
    <w:p w:rsidR="00000000" w:rsidRDefault="00BF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1A3"/>
    <w:multiLevelType w:val="hybridMultilevel"/>
    <w:tmpl w:val="E1BC92E0"/>
    <w:lvl w:ilvl="0" w:tplc="9F7E56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F0B53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07E2C3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EC094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5AC5B5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B1EE73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8E694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D1A2AC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7220F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4E0167"/>
    <w:multiLevelType w:val="hybridMultilevel"/>
    <w:tmpl w:val="EFEE40A4"/>
    <w:lvl w:ilvl="0" w:tplc="320C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41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65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EB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C8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1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4B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EB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A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2594"/>
    <w:multiLevelType w:val="hybridMultilevel"/>
    <w:tmpl w:val="BFD6EEDA"/>
    <w:lvl w:ilvl="0" w:tplc="F970F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A4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60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C3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D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8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AB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B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21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AAA"/>
    <w:multiLevelType w:val="hybridMultilevel"/>
    <w:tmpl w:val="4246E500"/>
    <w:lvl w:ilvl="0" w:tplc="2AE8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6C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01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00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C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A5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6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65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CB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2FCC"/>
    <w:multiLevelType w:val="hybridMultilevel"/>
    <w:tmpl w:val="9E36EE0C"/>
    <w:lvl w:ilvl="0" w:tplc="D172A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0A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CD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D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B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CD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2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F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6E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604CA"/>
    <w:multiLevelType w:val="hybridMultilevel"/>
    <w:tmpl w:val="E6FE22AC"/>
    <w:lvl w:ilvl="0" w:tplc="0B3A1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04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9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49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4A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F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C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0E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1"/>
    <w:rsid w:val="00285E51"/>
    <w:rsid w:val="00B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8E90F-84AE-4428-9A71-41C37F93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2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2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2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29A3"/>
    <w:rPr>
      <w:b/>
      <w:bCs/>
    </w:rPr>
  </w:style>
  <w:style w:type="paragraph" w:styleId="Revision">
    <w:name w:val="Revision"/>
    <w:hidden/>
    <w:uiPriority w:val="99"/>
    <w:semiHidden/>
    <w:rsid w:val="009E29A3"/>
    <w:rPr>
      <w:sz w:val="24"/>
      <w:szCs w:val="24"/>
    </w:rPr>
  </w:style>
  <w:style w:type="character" w:styleId="Hyperlink">
    <w:name w:val="Hyperlink"/>
    <w:basedOn w:val="DefaultParagraphFont"/>
    <w:unhideWhenUsed/>
    <w:rsid w:val="0032748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486A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86A76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48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5583</Characters>
  <Application>Microsoft Office Word</Application>
  <DocSecurity>4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HB01590 (Committee Report (Substituted))</vt:lpstr>
    </vt:vector>
  </TitlesOfParts>
  <Company>State of Texas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28863</dc:subject>
  <dc:creator>State of Texas</dc:creator>
  <dc:description>HB 1590 by Howard-(H)Homeland Security &amp; Public Safety (Substitute Document Number: 86R 25832)</dc:description>
  <cp:lastModifiedBy>Scotty Wimberley</cp:lastModifiedBy>
  <cp:revision>2</cp:revision>
  <cp:lastPrinted>2019-02-14T19:47:00Z</cp:lastPrinted>
  <dcterms:created xsi:type="dcterms:W3CDTF">2019-04-24T02:11:00Z</dcterms:created>
  <dcterms:modified xsi:type="dcterms:W3CDTF">2019-04-24T02:11:00Z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19.112.1207</vt:lpwstr>
  </property>
</Properties>
</file>