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9377F" w:rsidTr="00345119">
        <w:tc>
          <w:tcPr>
            <w:tcW w:w="9576" w:type="dxa"/>
            <w:noWrap/>
          </w:tcPr>
          <w:p w:rsidR="008423E4" w:rsidRPr="0022177D" w:rsidRDefault="007966A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966A3" w:rsidP="008423E4">
      <w:pPr>
        <w:jc w:val="center"/>
      </w:pPr>
    </w:p>
    <w:p w:rsidR="008423E4" w:rsidRPr="00B31F0E" w:rsidRDefault="007966A3" w:rsidP="008423E4"/>
    <w:p w:rsidR="008423E4" w:rsidRPr="00742794" w:rsidRDefault="007966A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9377F" w:rsidTr="00345119">
        <w:tc>
          <w:tcPr>
            <w:tcW w:w="9576" w:type="dxa"/>
          </w:tcPr>
          <w:p w:rsidR="008423E4" w:rsidRPr="00861995" w:rsidRDefault="007966A3" w:rsidP="00345119">
            <w:pPr>
              <w:jc w:val="right"/>
            </w:pPr>
            <w:r>
              <w:t>H.B. 1595</w:t>
            </w:r>
          </w:p>
        </w:tc>
      </w:tr>
      <w:tr w:rsidR="00E9377F" w:rsidTr="00345119">
        <w:tc>
          <w:tcPr>
            <w:tcW w:w="9576" w:type="dxa"/>
          </w:tcPr>
          <w:p w:rsidR="008423E4" w:rsidRPr="00861995" w:rsidRDefault="007966A3" w:rsidP="00A06A63">
            <w:pPr>
              <w:jc w:val="right"/>
            </w:pPr>
            <w:r>
              <w:t xml:space="preserve">By: </w:t>
            </w:r>
            <w:r>
              <w:t>Paddie</w:t>
            </w:r>
          </w:p>
        </w:tc>
      </w:tr>
      <w:tr w:rsidR="00E9377F" w:rsidTr="00345119">
        <w:tc>
          <w:tcPr>
            <w:tcW w:w="9576" w:type="dxa"/>
          </w:tcPr>
          <w:p w:rsidR="008423E4" w:rsidRPr="00861995" w:rsidRDefault="007966A3" w:rsidP="00345119">
            <w:pPr>
              <w:jc w:val="right"/>
            </w:pPr>
            <w:r>
              <w:t>State Affairs</w:t>
            </w:r>
          </w:p>
        </w:tc>
      </w:tr>
      <w:tr w:rsidR="00E9377F" w:rsidTr="00345119">
        <w:tc>
          <w:tcPr>
            <w:tcW w:w="9576" w:type="dxa"/>
          </w:tcPr>
          <w:p w:rsidR="008423E4" w:rsidRDefault="007966A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966A3" w:rsidP="008423E4">
      <w:pPr>
        <w:tabs>
          <w:tab w:val="right" w:pos="9360"/>
        </w:tabs>
      </w:pPr>
    </w:p>
    <w:p w:rsidR="008423E4" w:rsidRDefault="007966A3" w:rsidP="008423E4"/>
    <w:p w:rsidR="008423E4" w:rsidRDefault="007966A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9377F" w:rsidTr="00345119">
        <w:tc>
          <w:tcPr>
            <w:tcW w:w="9576" w:type="dxa"/>
          </w:tcPr>
          <w:p w:rsidR="008423E4" w:rsidRPr="00A8133F" w:rsidRDefault="007966A3" w:rsidP="0034272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966A3" w:rsidP="00342728"/>
          <w:p w:rsidR="00633FA9" w:rsidRDefault="007966A3" w:rsidP="00342728">
            <w:pPr>
              <w:pStyle w:val="Header"/>
              <w:jc w:val="both"/>
            </w:pPr>
            <w:r>
              <w:t>It has been noted that a</w:t>
            </w:r>
            <w:r w:rsidRPr="00A03C02">
              <w:t>dvanced meter</w:t>
            </w:r>
            <w:r>
              <w:t>ing</w:t>
            </w:r>
            <w:r w:rsidRPr="00A03C02">
              <w:t xml:space="preserve"> and meter information networks have been deployed in </w:t>
            </w:r>
            <w:r>
              <w:t xml:space="preserve">approximately </w:t>
            </w:r>
            <w:r w:rsidRPr="00A03C02">
              <w:t>seven million homes</w:t>
            </w:r>
            <w:r>
              <w:t xml:space="preserve"> in</w:t>
            </w:r>
            <w:r w:rsidRPr="00A03C02">
              <w:t xml:space="preserve"> </w:t>
            </w:r>
            <w:r>
              <w:t>the</w:t>
            </w:r>
            <w:r w:rsidRPr="00A03C02">
              <w:t xml:space="preserve"> ERCOT </w:t>
            </w:r>
            <w:r>
              <w:t xml:space="preserve">power </w:t>
            </w:r>
            <w:r w:rsidRPr="00A03C02">
              <w:t>region</w:t>
            </w:r>
            <w:r>
              <w:t xml:space="preserve"> in Texas</w:t>
            </w:r>
            <w:r w:rsidRPr="00A03C02">
              <w:t xml:space="preserve">, providing customers with cost savings and operational benefits including enhanced energy management tools and faster outage response times. </w:t>
            </w:r>
            <w:r>
              <w:t>It has been further noted that</w:t>
            </w:r>
            <w:r>
              <w:t>,</w:t>
            </w:r>
            <w:r>
              <w:t xml:space="preserve"> </w:t>
            </w:r>
            <w:r>
              <w:t xml:space="preserve">although </w:t>
            </w:r>
            <w:r w:rsidRPr="00A03C02">
              <w:t xml:space="preserve">ERCOT </w:t>
            </w:r>
            <w:r>
              <w:t xml:space="preserve">utilities are explicitly </w:t>
            </w:r>
            <w:r>
              <w:t>able to</w:t>
            </w:r>
            <w:r w:rsidRPr="00A03C02">
              <w:t xml:space="preserve"> recover costs</w:t>
            </w:r>
            <w:r w:rsidRPr="00A03C02">
              <w:t xml:space="preserve"> associated with the deployment </w:t>
            </w:r>
            <w:r>
              <w:t>of these meters and networks</w:t>
            </w:r>
            <w:r>
              <w:t>,</w:t>
            </w:r>
            <w:r>
              <w:t xml:space="preserve"> there is</w:t>
            </w:r>
            <w:r w:rsidRPr="00A03C02">
              <w:t xml:space="preserve"> ambiguity as to whether non-ERCOT utilities </w:t>
            </w:r>
            <w:r>
              <w:t xml:space="preserve">such as </w:t>
            </w:r>
            <w:r>
              <w:t xml:space="preserve">the </w:t>
            </w:r>
            <w:r w:rsidRPr="00565D52">
              <w:t xml:space="preserve">Southwestern Electric Power Company </w:t>
            </w:r>
            <w:r>
              <w:t>would similarly be able to recover the costs associated with</w:t>
            </w:r>
            <w:r w:rsidRPr="00A03C02">
              <w:t xml:space="preserve"> deploy</w:t>
            </w:r>
            <w:r>
              <w:t>ing</w:t>
            </w:r>
            <w:r w:rsidRPr="00A03C02">
              <w:t xml:space="preserve"> advanced meters and me</w:t>
            </w:r>
            <w:r w:rsidRPr="00A03C02">
              <w:t xml:space="preserve">ter information networks. H.B. </w:t>
            </w:r>
            <w:r>
              <w:t>1595</w:t>
            </w:r>
            <w:r w:rsidRPr="00A03C02">
              <w:t xml:space="preserve"> </w:t>
            </w:r>
            <w:r>
              <w:t>seeks to explicitly authorize certain non-ERCOT electric utilities to recover those costs.</w:t>
            </w:r>
          </w:p>
          <w:p w:rsidR="008423E4" w:rsidRPr="00E26B13" w:rsidRDefault="007966A3" w:rsidP="00342728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E9377F" w:rsidTr="00345119">
        <w:tc>
          <w:tcPr>
            <w:tcW w:w="9576" w:type="dxa"/>
          </w:tcPr>
          <w:p w:rsidR="0017725B" w:rsidRDefault="007966A3" w:rsidP="0034272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966A3" w:rsidP="00342728">
            <w:pPr>
              <w:rPr>
                <w:b/>
                <w:u w:val="single"/>
              </w:rPr>
            </w:pPr>
          </w:p>
          <w:p w:rsidR="00E14F57" w:rsidRPr="00E14F57" w:rsidRDefault="007966A3" w:rsidP="00342728">
            <w:pPr>
              <w:jc w:val="both"/>
            </w:pPr>
            <w:r>
              <w:t xml:space="preserve">It is the committee's opinion that this bill does not expressly create a criminal offense, increase </w:t>
            </w:r>
            <w:r>
              <w:t>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966A3" w:rsidP="00342728">
            <w:pPr>
              <w:rPr>
                <w:b/>
                <w:u w:val="single"/>
              </w:rPr>
            </w:pPr>
          </w:p>
        </w:tc>
      </w:tr>
      <w:tr w:rsidR="00E9377F" w:rsidTr="00345119">
        <w:tc>
          <w:tcPr>
            <w:tcW w:w="9576" w:type="dxa"/>
          </w:tcPr>
          <w:p w:rsidR="008423E4" w:rsidRPr="00A8133F" w:rsidRDefault="007966A3" w:rsidP="0034272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966A3" w:rsidP="00342728"/>
          <w:p w:rsidR="00E14F57" w:rsidRDefault="007966A3" w:rsidP="003427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7966A3" w:rsidP="00342728">
            <w:pPr>
              <w:rPr>
                <w:b/>
              </w:rPr>
            </w:pPr>
          </w:p>
        </w:tc>
      </w:tr>
      <w:tr w:rsidR="00E9377F" w:rsidTr="00345119">
        <w:tc>
          <w:tcPr>
            <w:tcW w:w="9576" w:type="dxa"/>
          </w:tcPr>
          <w:p w:rsidR="008423E4" w:rsidRPr="00A8133F" w:rsidRDefault="007966A3" w:rsidP="0034272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966A3" w:rsidP="00342728"/>
          <w:p w:rsidR="00C43E47" w:rsidRDefault="007966A3" w:rsidP="003427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1595 amends the Utilities Code to authorize an </w:t>
            </w:r>
            <w:r>
              <w:t xml:space="preserve">investor-owned </w:t>
            </w:r>
            <w:r>
              <w:t>electric utility</w:t>
            </w:r>
            <w:r>
              <w:t xml:space="preserve"> that is operating solely outside of </w:t>
            </w:r>
            <w:r>
              <w:t xml:space="preserve">ERCOT </w:t>
            </w:r>
            <w:r>
              <w:t xml:space="preserve">in areas </w:t>
            </w:r>
            <w:r>
              <w:t xml:space="preserve">of Texas that were included in the Southwest Power Pool </w:t>
            </w:r>
            <w:r>
              <w:t xml:space="preserve">on January 1, 2008, </w:t>
            </w:r>
            <w:r>
              <w:t xml:space="preserve">that was </w:t>
            </w:r>
            <w:r>
              <w:t xml:space="preserve">not affiliated with the Southeastern Electric Reliability Council on January 1, 2008, that </w:t>
            </w:r>
            <w:r>
              <w:t xml:space="preserve">did not </w:t>
            </w:r>
            <w:r>
              <w:t>exceed</w:t>
            </w:r>
            <w:r>
              <w:t xml:space="preserve"> </w:t>
            </w:r>
            <w:r>
              <w:t xml:space="preserve">a </w:t>
            </w:r>
            <w:r>
              <w:t xml:space="preserve">certain </w:t>
            </w:r>
            <w:r>
              <w:t xml:space="preserve">transmission </w:t>
            </w:r>
            <w:r>
              <w:t xml:space="preserve">capacity </w:t>
            </w:r>
            <w:r>
              <w:t>threshold</w:t>
            </w:r>
            <w:r>
              <w:t xml:space="preserve"> on </w:t>
            </w:r>
            <w:r>
              <w:t>September 1, 1999,</w:t>
            </w:r>
            <w:r>
              <w:t xml:space="preserve"> </w:t>
            </w:r>
            <w:r>
              <w:t>a</w:t>
            </w:r>
            <w:r>
              <w:t xml:space="preserve">nd </w:t>
            </w:r>
            <w:r>
              <w:t xml:space="preserve">that elects to deploy advanced metering and meter information networks </w:t>
            </w:r>
            <w:r>
              <w:t>to</w:t>
            </w:r>
            <w:r>
              <w:t xml:space="preserve"> recover reasonable and necessary costs incurred in deploying </w:t>
            </w:r>
            <w:r>
              <w:t xml:space="preserve">such </w:t>
            </w:r>
            <w:r>
              <w:t xml:space="preserve">networks. </w:t>
            </w:r>
            <w:r>
              <w:t>The bill subjects a</w:t>
            </w:r>
            <w:r>
              <w:t>n electric</w:t>
            </w:r>
            <w:r>
              <w:t xml:space="preserve"> utility that elects to deploy such a </w:t>
            </w:r>
            <w:r>
              <w:t xml:space="preserve">network to </w:t>
            </w:r>
            <w:r>
              <w:t xml:space="preserve">certain rules adopted by </w:t>
            </w:r>
            <w:r>
              <w:t>the Public Utility Commission of Texas (PUC)</w:t>
            </w:r>
            <w:r>
              <w:t xml:space="preserve"> relating to metering and billing services</w:t>
            </w:r>
            <w:r>
              <w:t>. The</w:t>
            </w:r>
            <w:r>
              <w:t xml:space="preserve"> bill requires the</w:t>
            </w:r>
            <w:r>
              <w:t xml:space="preserve"> </w:t>
            </w:r>
            <w:r>
              <w:t>PUC</w:t>
            </w:r>
            <w:r>
              <w:t xml:space="preserve"> </w:t>
            </w:r>
            <w:r>
              <w:t>to</w:t>
            </w:r>
            <w:r>
              <w:t xml:space="preserve"> ensure that any deployment plan approved under </w:t>
            </w:r>
            <w:r>
              <w:t>the bill's provisions</w:t>
            </w:r>
            <w:r>
              <w:t xml:space="preserve"> and any related customer</w:t>
            </w:r>
            <w:r>
              <w:t xml:space="preserve"> surcharge </w:t>
            </w:r>
            <w:r>
              <w:t xml:space="preserve">are not applicable to customer </w:t>
            </w:r>
            <w:r>
              <w:t>accounts that receive s</w:t>
            </w:r>
            <w:r>
              <w:t xml:space="preserve">ervice at transmission voltage </w:t>
            </w:r>
            <w:r>
              <w:t>and</w:t>
            </w:r>
            <w:r>
              <w:t xml:space="preserve"> </w:t>
            </w:r>
            <w:r>
              <w:t xml:space="preserve">are consistent with </w:t>
            </w:r>
            <w:r>
              <w:t xml:space="preserve">PUC </w:t>
            </w:r>
            <w:r>
              <w:t>rules related to advanced metering systems regarding</w:t>
            </w:r>
            <w:r>
              <w:t xml:space="preserve"> </w:t>
            </w:r>
            <w:r>
              <w:t>customer protections</w:t>
            </w:r>
            <w:r>
              <w:t xml:space="preserve">; </w:t>
            </w:r>
            <w:r>
              <w:t>data security, privacy, and ownership; and</w:t>
            </w:r>
            <w:r>
              <w:t xml:space="preserve"> </w:t>
            </w:r>
            <w:r>
              <w:t>options given consumers to continue to receive service t</w:t>
            </w:r>
            <w:r>
              <w:t>hrough a non-advanced meter.</w:t>
            </w:r>
            <w:r>
              <w:t xml:space="preserve"> The bill requires a</w:t>
            </w:r>
            <w:r>
              <w:t xml:space="preserve">n electric utility to </w:t>
            </w:r>
            <w:r>
              <w:t xml:space="preserve">which the bill applies </w:t>
            </w:r>
            <w:r>
              <w:t xml:space="preserve">that elects to deploy an advanced meter information network </w:t>
            </w:r>
            <w:r>
              <w:t>to</w:t>
            </w:r>
            <w:r>
              <w:t xml:space="preserve"> deploy the network as rapidly as practicable to allow customers to better manage energy use and cont</w:t>
            </w:r>
            <w:r>
              <w:t>rol costs.</w:t>
            </w:r>
          </w:p>
          <w:p w:rsidR="008423E4" w:rsidRPr="00835628" w:rsidRDefault="007966A3" w:rsidP="00342728">
            <w:pPr>
              <w:rPr>
                <w:b/>
              </w:rPr>
            </w:pPr>
          </w:p>
        </w:tc>
      </w:tr>
      <w:tr w:rsidR="00E9377F" w:rsidTr="00345119">
        <w:tc>
          <w:tcPr>
            <w:tcW w:w="9576" w:type="dxa"/>
          </w:tcPr>
          <w:p w:rsidR="008423E4" w:rsidRPr="00A8133F" w:rsidRDefault="007966A3" w:rsidP="0034272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966A3" w:rsidP="00342728"/>
          <w:p w:rsidR="008423E4" w:rsidRPr="00342728" w:rsidRDefault="007966A3" w:rsidP="0034272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</w:tc>
      </w:tr>
    </w:tbl>
    <w:p w:rsidR="004108C3" w:rsidRPr="008423E4" w:rsidRDefault="007966A3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66A3">
      <w:r>
        <w:separator/>
      </w:r>
    </w:p>
  </w:endnote>
  <w:endnote w:type="continuationSeparator" w:id="0">
    <w:p w:rsidR="00000000" w:rsidRDefault="0079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9377F" w:rsidTr="009C1E9A">
      <w:trPr>
        <w:cantSplit/>
      </w:trPr>
      <w:tc>
        <w:tcPr>
          <w:tcW w:w="0" w:type="pct"/>
        </w:tcPr>
        <w:p w:rsidR="00137D90" w:rsidRDefault="007966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966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966A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966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966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377F" w:rsidTr="009C1E9A">
      <w:trPr>
        <w:cantSplit/>
      </w:trPr>
      <w:tc>
        <w:tcPr>
          <w:tcW w:w="0" w:type="pct"/>
        </w:tcPr>
        <w:p w:rsidR="00EC379B" w:rsidRDefault="007966A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966A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22519</w:t>
          </w:r>
        </w:p>
      </w:tc>
      <w:tc>
        <w:tcPr>
          <w:tcW w:w="2453" w:type="pct"/>
        </w:tcPr>
        <w:p w:rsidR="00EC379B" w:rsidRDefault="007966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19.86.23</w:t>
          </w:r>
          <w:r>
            <w:fldChar w:fldCharType="end"/>
          </w:r>
        </w:p>
      </w:tc>
    </w:tr>
    <w:tr w:rsidR="00E9377F" w:rsidTr="009C1E9A">
      <w:trPr>
        <w:cantSplit/>
      </w:trPr>
      <w:tc>
        <w:tcPr>
          <w:tcW w:w="0" w:type="pct"/>
        </w:tcPr>
        <w:p w:rsidR="00EC379B" w:rsidRDefault="007966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966A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966A3" w:rsidP="006D504F">
          <w:pPr>
            <w:pStyle w:val="Footer"/>
            <w:rPr>
              <w:rStyle w:val="PageNumber"/>
            </w:rPr>
          </w:pPr>
        </w:p>
        <w:p w:rsidR="00EC379B" w:rsidRDefault="007966A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9377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966A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966A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966A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66A3">
      <w:r>
        <w:separator/>
      </w:r>
    </w:p>
  </w:footnote>
  <w:footnote w:type="continuationSeparator" w:id="0">
    <w:p w:rsidR="00000000" w:rsidRDefault="00796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6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6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96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D25D1"/>
    <w:multiLevelType w:val="hybridMultilevel"/>
    <w:tmpl w:val="0276A674"/>
    <w:lvl w:ilvl="0" w:tplc="1A7EC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E461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ECE1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403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473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9E4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46A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E75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C24F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7F"/>
    <w:rsid w:val="007966A3"/>
    <w:rsid w:val="00E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016B49-94D6-4CBC-8BB1-293202A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3E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43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43E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3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3E47"/>
    <w:rPr>
      <w:b/>
      <w:bCs/>
    </w:rPr>
  </w:style>
  <w:style w:type="character" w:styleId="Hyperlink">
    <w:name w:val="Hyperlink"/>
    <w:basedOn w:val="DefaultParagraphFont"/>
    <w:unhideWhenUsed/>
    <w:rsid w:val="00633F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3184D"/>
    <w:rPr>
      <w:color w:val="800080" w:themeColor="followedHyperlink"/>
      <w:u w:val="single"/>
    </w:rPr>
  </w:style>
  <w:style w:type="paragraph" w:customStyle="1" w:styleId="center">
    <w:name w:val="center"/>
    <w:basedOn w:val="Normal"/>
    <w:rsid w:val="00541D4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4D72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2455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HB01595 (Committee Report (Unamended))</vt:lpstr>
    </vt:vector>
  </TitlesOfParts>
  <Company>State of Texas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22519</dc:subject>
  <dc:creator>State of Texas</dc:creator>
  <dc:description>HB 1595 by Paddie-(H)State Affairs</dc:description>
  <cp:lastModifiedBy>Laura Ramsay</cp:lastModifiedBy>
  <cp:revision>2</cp:revision>
  <cp:lastPrinted>2003-11-26T17:21:00Z</cp:lastPrinted>
  <dcterms:created xsi:type="dcterms:W3CDTF">2019-03-27T16:46:00Z</dcterms:created>
  <dcterms:modified xsi:type="dcterms:W3CDTF">2019-03-27T16:46:00Z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19.86.23</vt:lpwstr>
  </property>
</Properties>
</file>