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5100" w:rsidTr="00345119">
        <w:tc>
          <w:tcPr>
            <w:tcW w:w="9576" w:type="dxa"/>
            <w:noWrap/>
          </w:tcPr>
          <w:p w:rsidR="008423E4" w:rsidRPr="0022177D" w:rsidRDefault="00B131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31E6" w:rsidP="008423E4">
      <w:pPr>
        <w:jc w:val="center"/>
      </w:pPr>
    </w:p>
    <w:p w:rsidR="008423E4" w:rsidRPr="00B31F0E" w:rsidRDefault="00B131E6" w:rsidP="008423E4"/>
    <w:p w:rsidR="008423E4" w:rsidRPr="00742794" w:rsidRDefault="00B131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5100" w:rsidTr="00345119">
        <w:tc>
          <w:tcPr>
            <w:tcW w:w="9576" w:type="dxa"/>
          </w:tcPr>
          <w:p w:rsidR="008423E4" w:rsidRPr="00861995" w:rsidRDefault="00B131E6" w:rsidP="00345119">
            <w:pPr>
              <w:jc w:val="right"/>
            </w:pPr>
            <w:r>
              <w:t>C.S.H.B. 1625</w:t>
            </w:r>
          </w:p>
        </w:tc>
      </w:tr>
      <w:tr w:rsidR="007B5100" w:rsidTr="00345119">
        <w:tc>
          <w:tcPr>
            <w:tcW w:w="9576" w:type="dxa"/>
          </w:tcPr>
          <w:p w:rsidR="008423E4" w:rsidRPr="00861995" w:rsidRDefault="00B131E6" w:rsidP="009B0EC1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7B5100" w:rsidTr="00345119">
        <w:tc>
          <w:tcPr>
            <w:tcW w:w="9576" w:type="dxa"/>
          </w:tcPr>
          <w:p w:rsidR="008423E4" w:rsidRPr="00861995" w:rsidRDefault="00B131E6" w:rsidP="00345119">
            <w:pPr>
              <w:jc w:val="right"/>
            </w:pPr>
            <w:r>
              <w:t>Criminal Jurisprudence</w:t>
            </w:r>
          </w:p>
        </w:tc>
      </w:tr>
      <w:tr w:rsidR="007B5100" w:rsidTr="00345119">
        <w:tc>
          <w:tcPr>
            <w:tcW w:w="9576" w:type="dxa"/>
          </w:tcPr>
          <w:p w:rsidR="008423E4" w:rsidRDefault="00B131E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131E6" w:rsidP="008423E4">
      <w:pPr>
        <w:tabs>
          <w:tab w:val="right" w:pos="9360"/>
        </w:tabs>
      </w:pPr>
    </w:p>
    <w:p w:rsidR="008423E4" w:rsidRDefault="00B131E6" w:rsidP="008423E4"/>
    <w:p w:rsidR="008423E4" w:rsidRDefault="00B131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5100" w:rsidTr="00345119">
        <w:tc>
          <w:tcPr>
            <w:tcW w:w="9576" w:type="dxa"/>
          </w:tcPr>
          <w:p w:rsidR="008423E4" w:rsidRPr="00A8133F" w:rsidRDefault="00B131E6" w:rsidP="00B04C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B04C5D" w:rsidRDefault="00B131E6" w:rsidP="00B04C5D">
            <w:pPr>
              <w:rPr>
                <w:sz w:val="20"/>
              </w:rPr>
            </w:pPr>
          </w:p>
          <w:p w:rsidR="008423E4" w:rsidRDefault="00B131E6" w:rsidP="00B04C5D">
            <w:pPr>
              <w:pStyle w:val="Header"/>
              <w:jc w:val="both"/>
            </w:pPr>
            <w:r>
              <w:t>A</w:t>
            </w:r>
            <w:r>
              <w:t xml:space="preserve">ccusations </w:t>
            </w:r>
            <w:r>
              <w:t xml:space="preserve">of inappropriate conduct </w:t>
            </w:r>
            <w:r>
              <w:t xml:space="preserve">made against emergency </w:t>
            </w:r>
            <w:r>
              <w:t>responders</w:t>
            </w:r>
            <w:r>
              <w:t xml:space="preserve"> </w:t>
            </w:r>
            <w:r>
              <w:t xml:space="preserve">can be </w:t>
            </w:r>
            <w:r>
              <w:t xml:space="preserve">damaging to the lives and reputations of </w:t>
            </w:r>
            <w:r>
              <w:t xml:space="preserve">the </w:t>
            </w:r>
            <w:r>
              <w:t>responders</w:t>
            </w:r>
            <w:r>
              <w:t xml:space="preserve">, even </w:t>
            </w:r>
            <w:r>
              <w:t xml:space="preserve">if </w:t>
            </w:r>
            <w:r>
              <w:t xml:space="preserve">the accusations are proven false. </w:t>
            </w:r>
            <w:r>
              <w:t xml:space="preserve">It has been suggested that there </w:t>
            </w:r>
            <w:r>
              <w:t>are</w:t>
            </w:r>
            <w:r>
              <w:t xml:space="preserve"> </w:t>
            </w:r>
            <w:r>
              <w:t>inadequate</w:t>
            </w:r>
            <w:r>
              <w:t xml:space="preserve"> </w:t>
            </w:r>
            <w:r>
              <w:t>disincentive</w:t>
            </w:r>
            <w:r>
              <w:t>s</w:t>
            </w:r>
            <w:r>
              <w:t xml:space="preserve"> for making serious false statements against emergency </w:t>
            </w:r>
            <w:r>
              <w:t>responders</w:t>
            </w:r>
            <w:r>
              <w:t xml:space="preserve"> </w:t>
            </w:r>
            <w:r>
              <w:t>for the purpose of initiating a criminal investigation against the resp</w:t>
            </w:r>
            <w:r>
              <w:t>onder.</w:t>
            </w:r>
            <w:r>
              <w:t xml:space="preserve"> </w:t>
            </w:r>
            <w:r>
              <w:t>C.S.</w:t>
            </w:r>
            <w:r>
              <w:t xml:space="preserve">H.B. 1625 seeks to address this issue by </w:t>
            </w:r>
            <w:r>
              <w:t xml:space="preserve">creating an offense for a false report of </w:t>
            </w:r>
            <w:r>
              <w:t xml:space="preserve">criminal conduct </w:t>
            </w:r>
            <w:r>
              <w:t>by emergency responders</w:t>
            </w:r>
            <w:r>
              <w:t>.</w:t>
            </w:r>
          </w:p>
          <w:p w:rsidR="008423E4" w:rsidRPr="00E26B13" w:rsidRDefault="00B131E6" w:rsidP="00B04C5D">
            <w:pPr>
              <w:rPr>
                <w:b/>
              </w:rPr>
            </w:pPr>
          </w:p>
        </w:tc>
      </w:tr>
      <w:tr w:rsidR="007B5100" w:rsidTr="00345119">
        <w:tc>
          <w:tcPr>
            <w:tcW w:w="9576" w:type="dxa"/>
          </w:tcPr>
          <w:p w:rsidR="0017725B" w:rsidRDefault="00B131E6" w:rsidP="00B04C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B04C5D" w:rsidRDefault="00B131E6" w:rsidP="00B04C5D">
            <w:pPr>
              <w:rPr>
                <w:b/>
                <w:sz w:val="20"/>
                <w:u w:val="single"/>
              </w:rPr>
            </w:pPr>
          </w:p>
          <w:p w:rsidR="00437CD3" w:rsidRPr="00437CD3" w:rsidRDefault="00B131E6" w:rsidP="00B04C5D">
            <w:pPr>
              <w:jc w:val="both"/>
            </w:pPr>
            <w:r>
              <w:t xml:space="preserve">It is the committee's opinion that this bill expressly does one or more of the following: </w:t>
            </w:r>
            <w:r>
              <w:t>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B131E6" w:rsidP="00B04C5D">
            <w:pPr>
              <w:rPr>
                <w:b/>
                <w:u w:val="single"/>
              </w:rPr>
            </w:pPr>
          </w:p>
        </w:tc>
      </w:tr>
      <w:tr w:rsidR="007B5100" w:rsidTr="00345119">
        <w:tc>
          <w:tcPr>
            <w:tcW w:w="9576" w:type="dxa"/>
          </w:tcPr>
          <w:p w:rsidR="008423E4" w:rsidRPr="00A8133F" w:rsidRDefault="00B131E6" w:rsidP="00B04C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B04C5D" w:rsidRDefault="00B131E6" w:rsidP="00B04C5D">
            <w:pPr>
              <w:rPr>
                <w:sz w:val="20"/>
              </w:rPr>
            </w:pPr>
          </w:p>
          <w:p w:rsidR="00437CD3" w:rsidRDefault="00B131E6" w:rsidP="00B04C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131E6" w:rsidP="00B04C5D">
            <w:pPr>
              <w:rPr>
                <w:b/>
              </w:rPr>
            </w:pPr>
          </w:p>
        </w:tc>
      </w:tr>
      <w:tr w:rsidR="007B5100" w:rsidTr="00345119">
        <w:tc>
          <w:tcPr>
            <w:tcW w:w="9576" w:type="dxa"/>
          </w:tcPr>
          <w:p w:rsidR="008423E4" w:rsidRPr="00A8133F" w:rsidRDefault="00B131E6" w:rsidP="00B04C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B04C5D" w:rsidRDefault="00B131E6" w:rsidP="00B04C5D">
            <w:pPr>
              <w:rPr>
                <w:sz w:val="20"/>
              </w:rPr>
            </w:pPr>
          </w:p>
          <w:p w:rsidR="008423E4" w:rsidRDefault="00B131E6" w:rsidP="00B04C5D">
            <w:pPr>
              <w:pStyle w:val="Header"/>
              <w:jc w:val="both"/>
            </w:pPr>
            <w:r>
              <w:t>C.S.</w:t>
            </w:r>
            <w:r>
              <w:t xml:space="preserve">H.B. 1625 amends the Penal Code to create the </w:t>
            </w:r>
            <w:r>
              <w:t xml:space="preserve">Class A misdemeanor </w:t>
            </w:r>
            <w:r>
              <w:t xml:space="preserve">offense </w:t>
            </w:r>
            <w:r>
              <w:t>of false repo</w:t>
            </w:r>
            <w:r>
              <w:t xml:space="preserve">rt of </w:t>
            </w:r>
            <w:r>
              <w:t xml:space="preserve">criminal conduct </w:t>
            </w:r>
            <w:r>
              <w:t xml:space="preserve">by </w:t>
            </w:r>
            <w:r>
              <w:t xml:space="preserve">an emergency responder </w:t>
            </w:r>
            <w:r>
              <w:t>for a person who, with the intent to deceive,</w:t>
            </w:r>
            <w:r>
              <w:t xml:space="preserve"> </w:t>
            </w:r>
            <w:r>
              <w:t xml:space="preserve">knowingly makes a false report that a peace officer or emergency services personnel, while performing official duties, engaged in conduct that violates a </w:t>
            </w:r>
            <w:r>
              <w:t xml:space="preserve">state </w:t>
            </w:r>
            <w:r>
              <w:t>p</w:t>
            </w:r>
            <w:r>
              <w:t>enal</w:t>
            </w:r>
            <w:r>
              <w:t xml:space="preserve"> </w:t>
            </w:r>
            <w:r>
              <w:t>law and</w:t>
            </w:r>
            <w:r>
              <w:t xml:space="preserve"> </w:t>
            </w:r>
            <w:r>
              <w:t>makes the report to any law enforcement agency for the purpose of initiating a criminal investigation again</w:t>
            </w:r>
            <w:r>
              <w:t>st the officer or personnel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 w:rsidRPr="00A37EF3">
              <w:t>establishes that for conduct constituting an offense under the bill's provisions that also constit</w:t>
            </w:r>
            <w:r w:rsidRPr="00A37EF3">
              <w:t>utes an offense under another law, the actor may be prosecuted under the bill's provisions, the other law, or both.</w:t>
            </w:r>
          </w:p>
          <w:p w:rsidR="008423E4" w:rsidRPr="00835628" w:rsidRDefault="00B131E6" w:rsidP="00B04C5D">
            <w:pPr>
              <w:rPr>
                <w:b/>
              </w:rPr>
            </w:pPr>
          </w:p>
        </w:tc>
      </w:tr>
      <w:tr w:rsidR="007B5100" w:rsidTr="00345119">
        <w:tc>
          <w:tcPr>
            <w:tcW w:w="9576" w:type="dxa"/>
          </w:tcPr>
          <w:p w:rsidR="008423E4" w:rsidRPr="00A8133F" w:rsidRDefault="00B131E6" w:rsidP="00B04C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B04C5D" w:rsidRDefault="00B131E6" w:rsidP="00B04C5D">
            <w:pPr>
              <w:rPr>
                <w:sz w:val="20"/>
              </w:rPr>
            </w:pPr>
          </w:p>
          <w:p w:rsidR="008423E4" w:rsidRDefault="00B131E6" w:rsidP="00B04C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B131E6" w:rsidP="00B04C5D">
            <w:pPr>
              <w:rPr>
                <w:b/>
              </w:rPr>
            </w:pPr>
          </w:p>
        </w:tc>
      </w:tr>
      <w:tr w:rsidR="007B5100" w:rsidTr="00345119">
        <w:tc>
          <w:tcPr>
            <w:tcW w:w="9576" w:type="dxa"/>
          </w:tcPr>
          <w:p w:rsidR="009B0EC1" w:rsidRDefault="00B131E6" w:rsidP="00B04C5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4562B" w:rsidRDefault="00B131E6" w:rsidP="00B04C5D">
            <w:pPr>
              <w:jc w:val="both"/>
            </w:pPr>
          </w:p>
          <w:p w:rsidR="0054562B" w:rsidRDefault="00B131E6" w:rsidP="00B04C5D">
            <w:pPr>
              <w:jc w:val="both"/>
            </w:pPr>
            <w:r>
              <w:t>While C.S.H.B. 1625 may differ from the original in minor or</w:t>
            </w:r>
            <w:r>
              <w:t xml:space="preserve"> nonsubstantive ways, the following summarizes the substantial differences between the introduced and committee substitute versions of the bill.</w:t>
            </w:r>
          </w:p>
          <w:p w:rsidR="0054562B" w:rsidRPr="00B04C5D" w:rsidRDefault="00B131E6" w:rsidP="00B04C5D">
            <w:pPr>
              <w:jc w:val="both"/>
              <w:rPr>
                <w:sz w:val="20"/>
              </w:rPr>
            </w:pPr>
          </w:p>
          <w:p w:rsidR="0054562B" w:rsidRDefault="00B131E6" w:rsidP="00B04C5D">
            <w:pPr>
              <w:jc w:val="both"/>
            </w:pPr>
            <w:r>
              <w:t xml:space="preserve">The substitute </w:t>
            </w:r>
            <w:r>
              <w:t>narrows</w:t>
            </w:r>
            <w:r>
              <w:t xml:space="preserve"> the </w:t>
            </w:r>
            <w:r>
              <w:t xml:space="preserve">conduct </w:t>
            </w:r>
            <w:r>
              <w:t xml:space="preserve">that </w:t>
            </w:r>
            <w:r>
              <w:t>constitut</w:t>
            </w:r>
            <w:r>
              <w:t>es</w:t>
            </w:r>
            <w:r>
              <w:t xml:space="preserve"> the offense</w:t>
            </w:r>
            <w:r w:rsidRPr="0054562B">
              <w:t>.</w:t>
            </w:r>
          </w:p>
          <w:p w:rsidR="00B04C5D" w:rsidRPr="00B04C5D" w:rsidRDefault="00B131E6" w:rsidP="00B04C5D">
            <w:pPr>
              <w:jc w:val="both"/>
              <w:rPr>
                <w:sz w:val="20"/>
              </w:rPr>
            </w:pPr>
          </w:p>
          <w:p w:rsidR="0054562B" w:rsidRPr="0054562B" w:rsidRDefault="00B131E6" w:rsidP="00B04C5D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 xml:space="preserve">the </w:t>
            </w:r>
            <w:r>
              <w:t xml:space="preserve">graduated </w:t>
            </w:r>
            <w:r>
              <w:t xml:space="preserve">penalty </w:t>
            </w:r>
            <w:r>
              <w:t xml:space="preserve">range </w:t>
            </w:r>
            <w:r>
              <w:t xml:space="preserve">for the offense </w:t>
            </w:r>
            <w:r>
              <w:t>or the punishment of a Class A misdemeanor based on certain contents of the false report</w:t>
            </w:r>
            <w:r>
              <w:t xml:space="preserve"> but</w:t>
            </w:r>
            <w:r>
              <w:t xml:space="preserve"> </w:t>
            </w:r>
            <w:r>
              <w:t>makes</w:t>
            </w:r>
            <w:r>
              <w:t xml:space="preserve"> </w:t>
            </w:r>
            <w:r>
              <w:t xml:space="preserve">any conduct constituting </w:t>
            </w:r>
            <w:r>
              <w:t xml:space="preserve">the offense a Class A misdemeanor. </w:t>
            </w:r>
          </w:p>
        </w:tc>
      </w:tr>
    </w:tbl>
    <w:p w:rsidR="004108C3" w:rsidRPr="00B04C5D" w:rsidRDefault="00B131E6" w:rsidP="008423E4">
      <w:pPr>
        <w:rPr>
          <w:sz w:val="2"/>
        </w:rPr>
      </w:pPr>
    </w:p>
    <w:sectPr w:rsidR="004108C3" w:rsidRPr="00B04C5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31E6">
      <w:r>
        <w:separator/>
      </w:r>
    </w:p>
  </w:endnote>
  <w:endnote w:type="continuationSeparator" w:id="0">
    <w:p w:rsidR="00000000" w:rsidRDefault="00B1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5100" w:rsidTr="009C1E9A">
      <w:trPr>
        <w:cantSplit/>
      </w:trPr>
      <w:tc>
        <w:tcPr>
          <w:tcW w:w="0" w:type="pct"/>
        </w:tcPr>
        <w:p w:rsidR="00137D90" w:rsidRDefault="00B131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31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31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31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31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5100" w:rsidTr="009C1E9A">
      <w:trPr>
        <w:cantSplit/>
      </w:trPr>
      <w:tc>
        <w:tcPr>
          <w:tcW w:w="0" w:type="pct"/>
        </w:tcPr>
        <w:p w:rsidR="00EC379B" w:rsidRDefault="00B131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31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22781</w:t>
          </w:r>
        </w:p>
      </w:tc>
      <w:tc>
        <w:tcPr>
          <w:tcW w:w="2453" w:type="pct"/>
        </w:tcPr>
        <w:p w:rsidR="00EC379B" w:rsidRDefault="00B131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19.87.646</w:t>
          </w:r>
          <w:r>
            <w:fldChar w:fldCharType="end"/>
          </w:r>
        </w:p>
      </w:tc>
    </w:tr>
    <w:tr w:rsidR="007B5100" w:rsidTr="009C1E9A">
      <w:trPr>
        <w:cantSplit/>
      </w:trPr>
      <w:tc>
        <w:tcPr>
          <w:tcW w:w="0" w:type="pct"/>
        </w:tcPr>
        <w:p w:rsidR="00EC379B" w:rsidRDefault="00B131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31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19698</w:t>
          </w:r>
        </w:p>
      </w:tc>
      <w:tc>
        <w:tcPr>
          <w:tcW w:w="2453" w:type="pct"/>
        </w:tcPr>
        <w:p w:rsidR="00EC379B" w:rsidRDefault="00B131E6" w:rsidP="006D504F">
          <w:pPr>
            <w:pStyle w:val="Footer"/>
            <w:rPr>
              <w:rStyle w:val="PageNumber"/>
            </w:rPr>
          </w:pPr>
        </w:p>
        <w:p w:rsidR="00EC379B" w:rsidRDefault="00B131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51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31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31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31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31E6">
      <w:r>
        <w:separator/>
      </w:r>
    </w:p>
  </w:footnote>
  <w:footnote w:type="continuationSeparator" w:id="0">
    <w:p w:rsidR="00000000" w:rsidRDefault="00B1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419"/>
    <w:multiLevelType w:val="hybridMultilevel"/>
    <w:tmpl w:val="D5FEFACE"/>
    <w:lvl w:ilvl="0" w:tplc="E69A4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05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4B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25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0C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A9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E8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02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2B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3272E"/>
    <w:multiLevelType w:val="hybridMultilevel"/>
    <w:tmpl w:val="77BE1418"/>
    <w:lvl w:ilvl="0" w:tplc="90CED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4F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E1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2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A1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27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A5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7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60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00"/>
    <w:rsid w:val="007B5100"/>
    <w:rsid w:val="00B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13779-6E98-4E92-9A47-08D7BC3C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7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7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7C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CD3"/>
    <w:rPr>
      <w:b/>
      <w:bCs/>
    </w:rPr>
  </w:style>
  <w:style w:type="paragraph" w:styleId="ListParagraph">
    <w:name w:val="List Paragraph"/>
    <w:basedOn w:val="Normal"/>
    <w:uiPriority w:val="34"/>
    <w:qFormat/>
    <w:rsid w:val="0054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2077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HB01625 (Committee Report (Substituted))</vt:lpstr>
    </vt:vector>
  </TitlesOfParts>
  <Company>State of Texas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22781</dc:subject>
  <dc:creator>State of Texas</dc:creator>
  <dc:description>HB 1625 by Bell, Keith-(H)Criminal Jurisprudence (Substitute Document Number: 86R 19698)</dc:description>
  <cp:lastModifiedBy>Scotty Wimberley</cp:lastModifiedBy>
  <cp:revision>2</cp:revision>
  <cp:lastPrinted>2003-11-26T17:21:00Z</cp:lastPrinted>
  <dcterms:created xsi:type="dcterms:W3CDTF">2019-04-16T21:14:00Z</dcterms:created>
  <dcterms:modified xsi:type="dcterms:W3CDTF">2019-04-16T21:14:00Z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19.87.646</vt:lpwstr>
  </property>
</Properties>
</file>