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419B9" w:rsidTr="00345119">
        <w:tc>
          <w:tcPr>
            <w:tcW w:w="9576" w:type="dxa"/>
            <w:noWrap/>
          </w:tcPr>
          <w:p w:rsidR="008423E4" w:rsidRPr="0022177D" w:rsidRDefault="00446EF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46EF9" w:rsidP="008423E4">
      <w:pPr>
        <w:jc w:val="center"/>
      </w:pPr>
    </w:p>
    <w:p w:rsidR="008423E4" w:rsidRPr="00B31F0E" w:rsidRDefault="00446EF9" w:rsidP="008423E4"/>
    <w:p w:rsidR="008423E4" w:rsidRPr="00742794" w:rsidRDefault="00446EF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419B9" w:rsidTr="00345119">
        <w:tc>
          <w:tcPr>
            <w:tcW w:w="9576" w:type="dxa"/>
          </w:tcPr>
          <w:p w:rsidR="008423E4" w:rsidRPr="00861995" w:rsidRDefault="00446EF9" w:rsidP="00345119">
            <w:pPr>
              <w:jc w:val="right"/>
            </w:pPr>
            <w:r>
              <w:t>C.S.H.B. 1644</w:t>
            </w:r>
          </w:p>
        </w:tc>
      </w:tr>
      <w:tr w:rsidR="006419B9" w:rsidTr="00345119">
        <w:tc>
          <w:tcPr>
            <w:tcW w:w="9576" w:type="dxa"/>
          </w:tcPr>
          <w:p w:rsidR="008423E4" w:rsidRPr="00861995" w:rsidRDefault="00446EF9" w:rsidP="00F67AF6">
            <w:pPr>
              <w:jc w:val="right"/>
            </w:pPr>
            <w:r>
              <w:t xml:space="preserve">By: </w:t>
            </w:r>
            <w:r>
              <w:t>Martinez</w:t>
            </w:r>
          </w:p>
        </w:tc>
      </w:tr>
      <w:tr w:rsidR="006419B9" w:rsidTr="00345119">
        <w:tc>
          <w:tcPr>
            <w:tcW w:w="9576" w:type="dxa"/>
          </w:tcPr>
          <w:p w:rsidR="008423E4" w:rsidRPr="00861995" w:rsidRDefault="00446EF9" w:rsidP="00345119">
            <w:pPr>
              <w:jc w:val="right"/>
            </w:pPr>
            <w:r>
              <w:t>Transportation</w:t>
            </w:r>
          </w:p>
        </w:tc>
      </w:tr>
      <w:tr w:rsidR="006419B9" w:rsidTr="00345119">
        <w:tc>
          <w:tcPr>
            <w:tcW w:w="9576" w:type="dxa"/>
          </w:tcPr>
          <w:p w:rsidR="008423E4" w:rsidRDefault="00446EF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46EF9" w:rsidP="008423E4">
      <w:pPr>
        <w:tabs>
          <w:tab w:val="right" w:pos="9360"/>
        </w:tabs>
      </w:pPr>
    </w:p>
    <w:p w:rsidR="008423E4" w:rsidRDefault="00446EF9" w:rsidP="008423E4"/>
    <w:p w:rsidR="008423E4" w:rsidRDefault="00446EF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419B9" w:rsidTr="00345119">
        <w:tc>
          <w:tcPr>
            <w:tcW w:w="9576" w:type="dxa"/>
          </w:tcPr>
          <w:p w:rsidR="008423E4" w:rsidRPr="00A8133F" w:rsidRDefault="00446EF9" w:rsidP="00A106E2">
            <w:pPr>
              <w:spacing w:line="240" w:lineRule="auto"/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46EF9" w:rsidP="00A106E2">
            <w:pPr>
              <w:spacing w:line="240" w:lineRule="auto"/>
            </w:pPr>
          </w:p>
          <w:p w:rsidR="008423E4" w:rsidRDefault="00446EF9" w:rsidP="00A106E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</w:pPr>
            <w:r>
              <w:t xml:space="preserve">It has been noted that </w:t>
            </w:r>
            <w:r>
              <w:t xml:space="preserve">comprehensive development agreements </w:t>
            </w:r>
            <w:r>
              <w:t>entered into</w:t>
            </w:r>
            <w:r>
              <w:t xml:space="preserve"> by regional mobility authorities or the Texas Department of Transportation</w:t>
            </w:r>
            <w:r>
              <w:t xml:space="preserve"> with private entities</w:t>
            </w:r>
            <w:r>
              <w:t xml:space="preserve"> can be an effective means </w:t>
            </w:r>
            <w:r>
              <w:t xml:space="preserve">of developing the state's transportation infrastructure. </w:t>
            </w:r>
            <w:r>
              <w:t>C.S.</w:t>
            </w:r>
            <w:r>
              <w:t>H.B. 1644 seeks to make use of this development framework by authorizin</w:t>
            </w:r>
            <w:r>
              <w:t>g such agreements for certain specified projects, including certain projects for which previously granted statutory authority</w:t>
            </w:r>
            <w:r>
              <w:t xml:space="preserve"> has expired.</w:t>
            </w:r>
            <w:r>
              <w:t xml:space="preserve"> </w:t>
            </w:r>
          </w:p>
          <w:p w:rsidR="008423E4" w:rsidRPr="00E26B13" w:rsidRDefault="00446EF9" w:rsidP="00A106E2">
            <w:pPr>
              <w:spacing w:line="240" w:lineRule="auto"/>
              <w:rPr>
                <w:b/>
              </w:rPr>
            </w:pPr>
          </w:p>
        </w:tc>
      </w:tr>
      <w:tr w:rsidR="006419B9" w:rsidTr="00345119">
        <w:tc>
          <w:tcPr>
            <w:tcW w:w="9576" w:type="dxa"/>
          </w:tcPr>
          <w:p w:rsidR="0017725B" w:rsidRDefault="00446EF9" w:rsidP="00A106E2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46EF9" w:rsidP="00A106E2">
            <w:pPr>
              <w:spacing w:line="240" w:lineRule="auto"/>
              <w:rPr>
                <w:b/>
                <w:u w:val="single"/>
              </w:rPr>
            </w:pPr>
          </w:p>
          <w:p w:rsidR="00EA3949" w:rsidRPr="00EA3949" w:rsidRDefault="00446EF9" w:rsidP="00A106E2">
            <w:pPr>
              <w:spacing w:line="240" w:lineRule="auto"/>
            </w:pPr>
            <w:r>
              <w:t>It is the committee's opinion that this bill does not expressly create a criminal offense</w:t>
            </w:r>
            <w:r>
              <w:t>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46EF9" w:rsidP="00A106E2">
            <w:pPr>
              <w:spacing w:line="240" w:lineRule="auto"/>
              <w:rPr>
                <w:b/>
                <w:u w:val="single"/>
              </w:rPr>
            </w:pPr>
          </w:p>
        </w:tc>
      </w:tr>
      <w:tr w:rsidR="006419B9" w:rsidTr="00345119">
        <w:tc>
          <w:tcPr>
            <w:tcW w:w="9576" w:type="dxa"/>
          </w:tcPr>
          <w:p w:rsidR="008423E4" w:rsidRPr="00A8133F" w:rsidRDefault="00446EF9" w:rsidP="00A106E2">
            <w:pPr>
              <w:spacing w:line="240" w:lineRule="auto"/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46EF9" w:rsidP="00A106E2">
            <w:pPr>
              <w:spacing w:line="240" w:lineRule="auto"/>
            </w:pPr>
          </w:p>
          <w:p w:rsidR="00EA3949" w:rsidRDefault="00446EF9" w:rsidP="00A106E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</w:pPr>
            <w:r>
              <w:t>It is the committee's opinion that this bill doe</w:t>
            </w:r>
            <w:r>
              <w:t>s not expressly grant any additional rulemaking authority to a state officer, department, agency, or institution.</w:t>
            </w:r>
          </w:p>
          <w:p w:rsidR="008423E4" w:rsidRPr="00E21FDC" w:rsidRDefault="00446EF9" w:rsidP="00A106E2">
            <w:pPr>
              <w:spacing w:line="240" w:lineRule="auto"/>
              <w:rPr>
                <w:b/>
              </w:rPr>
            </w:pPr>
          </w:p>
        </w:tc>
      </w:tr>
      <w:tr w:rsidR="006419B9" w:rsidTr="00345119">
        <w:tc>
          <w:tcPr>
            <w:tcW w:w="9576" w:type="dxa"/>
          </w:tcPr>
          <w:p w:rsidR="008423E4" w:rsidRPr="00A8133F" w:rsidRDefault="00446EF9" w:rsidP="00A106E2">
            <w:pPr>
              <w:spacing w:line="240" w:lineRule="auto"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46EF9" w:rsidP="00A106E2">
            <w:pPr>
              <w:spacing w:line="240" w:lineRule="auto"/>
            </w:pPr>
          </w:p>
          <w:p w:rsidR="00B74AB3" w:rsidRDefault="00446EF9" w:rsidP="00A106E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</w:pPr>
            <w:r>
              <w:t>C.S.</w:t>
            </w:r>
            <w:r w:rsidRPr="00E427D3">
              <w:t xml:space="preserve">H.B. 1644 amends the Transportation Code to </w:t>
            </w:r>
            <w:r>
              <w:t>limit</w:t>
            </w:r>
            <w:r>
              <w:t xml:space="preserve"> the comprehensive development agreements into which</w:t>
            </w:r>
            <w:r w:rsidRPr="00E427D3">
              <w:t xml:space="preserve"> the Texas Department</w:t>
            </w:r>
            <w:r w:rsidRPr="00E427D3">
              <w:t xml:space="preserve"> of Transportation (TxDOT) </w:t>
            </w:r>
            <w:r>
              <w:t>may</w:t>
            </w:r>
            <w:r w:rsidRPr="00E427D3">
              <w:t xml:space="preserve"> </w:t>
            </w:r>
            <w:r w:rsidRPr="00E427D3">
              <w:t xml:space="preserve">enter </w:t>
            </w:r>
            <w:r>
              <w:t>to</w:t>
            </w:r>
            <w:r w:rsidRPr="00E427D3">
              <w:t xml:space="preserve"> </w:t>
            </w:r>
            <w:r>
              <w:t xml:space="preserve">certain specified </w:t>
            </w:r>
            <w:r>
              <w:t>state highway projects</w:t>
            </w:r>
            <w:r w:rsidRPr="00E427D3">
              <w:t xml:space="preserve">. </w:t>
            </w:r>
            <w:r>
              <w:t xml:space="preserve">The bill authorizes a regional mobility authority to enter into such </w:t>
            </w:r>
            <w:r w:rsidRPr="00E427D3">
              <w:t>agreement</w:t>
            </w:r>
            <w:r>
              <w:t xml:space="preserve">s for certain specified projects. </w:t>
            </w:r>
            <w:r>
              <w:t>The bill sets p</w:t>
            </w:r>
            <w:r>
              <w:t>rovisions relating to those authorized projects</w:t>
            </w:r>
            <w:r>
              <w:t xml:space="preserve"> to expire August 31, 2029. </w:t>
            </w:r>
          </w:p>
          <w:p w:rsidR="00B74AB3" w:rsidRDefault="00446EF9" w:rsidP="00A106E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</w:pPr>
          </w:p>
          <w:p w:rsidR="00840A73" w:rsidRDefault="00446EF9" w:rsidP="00A106E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</w:pPr>
            <w:r>
              <w:t xml:space="preserve">C.S.H.B. 1644 </w:t>
            </w:r>
            <w:r>
              <w:t>replaces</w:t>
            </w:r>
            <w:r>
              <w:t xml:space="preserve"> </w:t>
            </w:r>
            <w:r>
              <w:t xml:space="preserve">the cap on the amount of money </w:t>
            </w:r>
            <w:r>
              <w:t xml:space="preserve">TxDOT </w:t>
            </w:r>
            <w:r>
              <w:t>may</w:t>
            </w:r>
            <w:r>
              <w:t xml:space="preserve"> disburs</w:t>
            </w:r>
            <w:r>
              <w:t>e</w:t>
            </w:r>
            <w:r>
              <w:t xml:space="preserve"> from the state highway fund </w:t>
            </w:r>
            <w:r>
              <w:t>and</w:t>
            </w:r>
            <w:r>
              <w:t xml:space="preserve"> the Texas mobility fund </w:t>
            </w:r>
            <w:r>
              <w:t xml:space="preserve">during a federal fiscal year </w:t>
            </w:r>
            <w:r>
              <w:t xml:space="preserve">to pay the costs under comprehensive development </w:t>
            </w:r>
            <w:r>
              <w:t xml:space="preserve">agreements </w:t>
            </w:r>
            <w:r>
              <w:t>with a p</w:t>
            </w:r>
            <w:r>
              <w:t>rohibition against</w:t>
            </w:r>
            <w:r>
              <w:t xml:space="preserve"> Tx</w:t>
            </w:r>
            <w:r>
              <w:t xml:space="preserve">DOT disbursing money </w:t>
            </w:r>
            <w:r w:rsidRPr="00840A73">
              <w:t xml:space="preserve">from </w:t>
            </w:r>
            <w:r>
              <w:t>those funds</w:t>
            </w:r>
            <w:r>
              <w:t xml:space="preserve"> </w:t>
            </w:r>
            <w:r w:rsidRPr="00840A73">
              <w:t>to pay all or part of the actual cost of construction for a project developed</w:t>
            </w:r>
            <w:r>
              <w:t xml:space="preserve"> </w:t>
            </w:r>
            <w:r w:rsidRPr="00840A73">
              <w:t>under a comprehensive development agreement</w:t>
            </w:r>
            <w:r>
              <w:t>. Th</w:t>
            </w:r>
            <w:r>
              <w:t xml:space="preserve">is prohibition </w:t>
            </w:r>
            <w:r>
              <w:t xml:space="preserve">does not preclude </w:t>
            </w:r>
            <w:r w:rsidRPr="00C44BB7">
              <w:t>the expenditure of funds by</w:t>
            </w:r>
            <w:r>
              <w:t xml:space="preserve"> Tx</w:t>
            </w:r>
            <w:r>
              <w:t>DOT, or t</w:t>
            </w:r>
            <w:r>
              <w:t xml:space="preserve">he </w:t>
            </w:r>
            <w:r w:rsidRPr="00C44BB7">
              <w:t>disbursement of funds by</w:t>
            </w:r>
            <w:r>
              <w:t xml:space="preserve"> Tx</w:t>
            </w:r>
            <w:r>
              <w:t xml:space="preserve">DOT to another governmental entity, </w:t>
            </w:r>
            <w:r w:rsidRPr="00C44BB7">
              <w:t>for activities related to a project ultimately developed under a comprehensive development agreement.</w:t>
            </w:r>
            <w:r>
              <w:t xml:space="preserve"> The bill </w:t>
            </w:r>
            <w:r>
              <w:t>authorizes</w:t>
            </w:r>
            <w:r>
              <w:t xml:space="preserve"> the extension of </w:t>
            </w:r>
            <w:r>
              <w:t xml:space="preserve">a </w:t>
            </w:r>
            <w:r w:rsidRPr="00D44EF6">
              <w:t>comprehensive development agreement entered into on or before March 22, 2007, for State Highway 130 from U.S. Highway 183 to Interstate Highway 10 (Segments 5 and 6)</w:t>
            </w:r>
            <w:r>
              <w:t>, subject to certain conditions</w:t>
            </w:r>
            <w:r>
              <w:t xml:space="preserve">. </w:t>
            </w:r>
          </w:p>
          <w:p w:rsidR="00840A73" w:rsidRDefault="00446EF9" w:rsidP="00A106E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</w:pPr>
          </w:p>
          <w:p w:rsidR="008423E4" w:rsidRDefault="00446EF9" w:rsidP="00A106E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</w:pPr>
            <w:r>
              <w:t>C.S.</w:t>
            </w:r>
            <w:r w:rsidRPr="00E427D3">
              <w:t xml:space="preserve">H.B. 1644 </w:t>
            </w:r>
            <w:r>
              <w:t>repeals provisions relating to the expirat</w:t>
            </w:r>
            <w:r>
              <w:t xml:space="preserve">ion of </w:t>
            </w:r>
            <w:r>
              <w:t>TxDOT</w:t>
            </w:r>
            <w:r>
              <w:t xml:space="preserve"> authority to enter into </w:t>
            </w:r>
            <w:r>
              <w:t xml:space="preserve">a </w:t>
            </w:r>
            <w:r>
              <w:t>comprehensive devel</w:t>
            </w:r>
            <w:r>
              <w:t xml:space="preserve">opment agreement </w:t>
            </w:r>
            <w:r>
              <w:t>for certain projects</w:t>
            </w:r>
            <w:r>
              <w:t xml:space="preserve">, the requirement </w:t>
            </w:r>
            <w:r>
              <w:t>that</w:t>
            </w:r>
            <w:r>
              <w:t xml:space="preserve"> TxDOT obtain certain environmental clearance and present applicable financial information before entering into such an agreement, and the </w:t>
            </w:r>
            <w:r>
              <w:t xml:space="preserve">requirement </w:t>
            </w:r>
            <w:r>
              <w:t>that</w:t>
            </w:r>
            <w:r>
              <w:t xml:space="preserve"> TxDOT provide a report to the Texas Transportation Commission on the status of certain projects.</w:t>
            </w:r>
          </w:p>
          <w:p w:rsidR="00FC6DDC" w:rsidRDefault="00446EF9" w:rsidP="00A106E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</w:pPr>
          </w:p>
          <w:p w:rsidR="00FC6DDC" w:rsidRDefault="00446EF9" w:rsidP="00A106E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</w:pPr>
            <w:r>
              <w:t xml:space="preserve">C.S.H.B. 1644 repeals the following provisions of the Transportation Code: </w:t>
            </w:r>
          </w:p>
          <w:p w:rsidR="00FC6DDC" w:rsidRDefault="00446EF9" w:rsidP="00A106E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 w:line="240" w:lineRule="auto"/>
            </w:pPr>
            <w:r>
              <w:t>Section</w:t>
            </w:r>
            <w:r>
              <w:t>s</w:t>
            </w:r>
            <w:r w:rsidRPr="00FC6DDC">
              <w:t xml:space="preserve"> 223.201</w:t>
            </w:r>
            <w:r>
              <w:t xml:space="preserve">(g), </w:t>
            </w:r>
            <w:r w:rsidRPr="00FC6DDC">
              <w:t>(i), (j), (k), (l), and (m)</w:t>
            </w:r>
          </w:p>
          <w:p w:rsidR="00FC6DDC" w:rsidRDefault="00446EF9" w:rsidP="00A106E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 w:line="240" w:lineRule="auto"/>
            </w:pPr>
            <w:r w:rsidRPr="00FC6DDC">
              <w:t>Section 223.2011</w:t>
            </w:r>
          </w:p>
          <w:p w:rsidR="00B24F95" w:rsidRPr="00FC6DDC" w:rsidRDefault="00446EF9" w:rsidP="00A106E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</w:pPr>
          </w:p>
        </w:tc>
      </w:tr>
      <w:tr w:rsidR="006419B9" w:rsidTr="00345119">
        <w:tc>
          <w:tcPr>
            <w:tcW w:w="9576" w:type="dxa"/>
          </w:tcPr>
          <w:p w:rsidR="008423E4" w:rsidRPr="00A8133F" w:rsidRDefault="00446EF9" w:rsidP="00A106E2">
            <w:pPr>
              <w:spacing w:line="240" w:lineRule="auto"/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46EF9" w:rsidP="00A106E2">
            <w:pPr>
              <w:spacing w:line="240" w:lineRule="auto"/>
            </w:pPr>
          </w:p>
          <w:p w:rsidR="008423E4" w:rsidRPr="003624F2" w:rsidRDefault="00446EF9" w:rsidP="00A106E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</w:pPr>
            <w:r>
              <w:t>September 1, 2019.</w:t>
            </w:r>
          </w:p>
          <w:p w:rsidR="008423E4" w:rsidRPr="00233FDB" w:rsidRDefault="00446EF9" w:rsidP="00A106E2">
            <w:pPr>
              <w:spacing w:line="240" w:lineRule="auto"/>
              <w:rPr>
                <w:b/>
              </w:rPr>
            </w:pPr>
          </w:p>
        </w:tc>
      </w:tr>
      <w:tr w:rsidR="006419B9" w:rsidTr="00345119">
        <w:tc>
          <w:tcPr>
            <w:tcW w:w="9576" w:type="dxa"/>
          </w:tcPr>
          <w:p w:rsidR="00F67AF6" w:rsidRDefault="00446EF9" w:rsidP="00A106E2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44EF6" w:rsidRDefault="00446EF9" w:rsidP="00A106E2">
            <w:pPr>
              <w:spacing w:line="240" w:lineRule="auto"/>
            </w:pPr>
          </w:p>
          <w:p w:rsidR="00D44EF6" w:rsidRDefault="00446EF9" w:rsidP="00A106E2">
            <w:pPr>
              <w:spacing w:line="240" w:lineRule="auto"/>
            </w:pPr>
            <w:r>
              <w:t xml:space="preserve">While C.S.H.B. </w:t>
            </w:r>
            <w:r>
              <w:t>1644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:rsidR="00967F69" w:rsidRDefault="00446EF9" w:rsidP="00A106E2">
            <w:pPr>
              <w:spacing w:line="240" w:lineRule="auto"/>
            </w:pPr>
          </w:p>
          <w:p w:rsidR="00967F69" w:rsidRDefault="00446EF9" w:rsidP="00A106E2">
            <w:pPr>
              <w:spacing w:line="240" w:lineRule="auto"/>
            </w:pPr>
            <w:r w:rsidRPr="00967F69">
              <w:t xml:space="preserve">The substitute changes the </w:t>
            </w:r>
            <w:r>
              <w:t xml:space="preserve">specified projects for which TxDOT or a </w:t>
            </w:r>
            <w:r>
              <w:t xml:space="preserve">regional mobility authority may enter into a </w:t>
            </w:r>
            <w:r w:rsidRPr="00967F69">
              <w:t>compre</w:t>
            </w:r>
            <w:r>
              <w:t>hensive development agreement</w:t>
            </w:r>
            <w:r w:rsidRPr="00967F69">
              <w:t>.</w:t>
            </w:r>
            <w:r>
              <w:t xml:space="preserve"> </w:t>
            </w:r>
          </w:p>
          <w:p w:rsidR="00967F69" w:rsidRDefault="00446EF9" w:rsidP="00A106E2">
            <w:pPr>
              <w:spacing w:line="240" w:lineRule="auto"/>
            </w:pPr>
          </w:p>
          <w:p w:rsidR="00967F69" w:rsidRDefault="00446EF9" w:rsidP="00A106E2">
            <w:pPr>
              <w:spacing w:line="240" w:lineRule="auto"/>
            </w:pPr>
            <w:r>
              <w:t>The substitute does not include authorization</w:t>
            </w:r>
            <w:r>
              <w:t>s</w:t>
            </w:r>
            <w:r>
              <w:t xml:space="preserve"> for TxDOT </w:t>
            </w:r>
            <w:r>
              <w:t>or</w:t>
            </w:r>
            <w:r>
              <w:t xml:space="preserve"> a regional mobility authority to enter into comprehensive development agreements as provided by statutory provis</w:t>
            </w:r>
            <w:r>
              <w:t xml:space="preserve">ions relating to design-build contracts. </w:t>
            </w:r>
          </w:p>
          <w:p w:rsidR="00967F69" w:rsidRDefault="00446EF9" w:rsidP="00A106E2">
            <w:pPr>
              <w:spacing w:line="240" w:lineRule="auto"/>
            </w:pPr>
          </w:p>
          <w:p w:rsidR="00D2740D" w:rsidRDefault="00446EF9" w:rsidP="00A106E2">
            <w:pPr>
              <w:spacing w:line="240" w:lineRule="auto"/>
            </w:pPr>
            <w:r>
              <w:t xml:space="preserve">The substitute </w:t>
            </w:r>
            <w:r>
              <w:t>includes provisions revising</w:t>
            </w:r>
            <w:r>
              <w:t xml:space="preserve"> the </w:t>
            </w:r>
            <w:r>
              <w:t>l</w:t>
            </w:r>
            <w:r>
              <w:t xml:space="preserve">imitations on the disbursement of funds </w:t>
            </w:r>
            <w:r>
              <w:t>by TxDOT</w:t>
            </w:r>
            <w:r>
              <w:t xml:space="preserve"> </w:t>
            </w:r>
            <w:r>
              <w:t xml:space="preserve">to pay costs </w:t>
            </w:r>
            <w:r>
              <w:t xml:space="preserve">under </w:t>
            </w:r>
            <w:r>
              <w:t>a comprehensive development agreement</w:t>
            </w:r>
            <w:r>
              <w:t>.</w:t>
            </w:r>
          </w:p>
          <w:p w:rsidR="00D2740D" w:rsidRDefault="00446EF9" w:rsidP="00A106E2">
            <w:pPr>
              <w:spacing w:line="240" w:lineRule="auto"/>
            </w:pPr>
          </w:p>
          <w:p w:rsidR="00967F69" w:rsidRDefault="00446EF9" w:rsidP="00A106E2">
            <w:pPr>
              <w:spacing w:line="240" w:lineRule="auto"/>
            </w:pPr>
            <w:r>
              <w:t xml:space="preserve">The substitute </w:t>
            </w:r>
            <w:r>
              <w:t xml:space="preserve">includes an authorization for TxDOT to </w:t>
            </w:r>
            <w:r>
              <w:t>ex</w:t>
            </w:r>
            <w:r>
              <w:t xml:space="preserve">tend </w:t>
            </w:r>
            <w:r>
              <w:t xml:space="preserve">a specified comprehensive development agreement under certain conditions. </w:t>
            </w:r>
          </w:p>
          <w:p w:rsidR="002759E7" w:rsidRPr="002759E7" w:rsidRDefault="00446EF9" w:rsidP="00A106E2">
            <w:pPr>
              <w:spacing w:line="240" w:lineRule="auto"/>
            </w:pPr>
            <w:r>
              <w:t xml:space="preserve"> </w:t>
            </w:r>
          </w:p>
        </w:tc>
      </w:tr>
      <w:tr w:rsidR="006419B9" w:rsidTr="00345119">
        <w:tc>
          <w:tcPr>
            <w:tcW w:w="9576" w:type="dxa"/>
          </w:tcPr>
          <w:p w:rsidR="00F67AF6" w:rsidRPr="009C1E9A" w:rsidRDefault="00446EF9" w:rsidP="00A106E2">
            <w:pPr>
              <w:spacing w:line="240" w:lineRule="auto"/>
              <w:rPr>
                <w:b/>
                <w:u w:val="single"/>
              </w:rPr>
            </w:pPr>
          </w:p>
        </w:tc>
      </w:tr>
      <w:tr w:rsidR="006419B9" w:rsidTr="00345119">
        <w:tc>
          <w:tcPr>
            <w:tcW w:w="9576" w:type="dxa"/>
          </w:tcPr>
          <w:p w:rsidR="00F67AF6" w:rsidRPr="00F67AF6" w:rsidRDefault="00446EF9" w:rsidP="00A106E2">
            <w:pPr>
              <w:spacing w:line="240" w:lineRule="auto"/>
            </w:pPr>
          </w:p>
        </w:tc>
      </w:tr>
    </w:tbl>
    <w:p w:rsidR="004108C3" w:rsidRPr="008423E4" w:rsidRDefault="00446EF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6EF9">
      <w:pPr>
        <w:spacing w:line="240" w:lineRule="auto"/>
      </w:pPr>
      <w:r>
        <w:separator/>
      </w:r>
    </w:p>
  </w:endnote>
  <w:endnote w:type="continuationSeparator" w:id="0">
    <w:p w:rsidR="00000000" w:rsidRDefault="00446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46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419B9" w:rsidTr="009C1E9A">
      <w:trPr>
        <w:cantSplit/>
      </w:trPr>
      <w:tc>
        <w:tcPr>
          <w:tcW w:w="0" w:type="pct"/>
        </w:tcPr>
        <w:p w:rsidR="00137D90" w:rsidRDefault="00446E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46EF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46EF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46E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46E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419B9" w:rsidTr="009C1E9A">
      <w:trPr>
        <w:cantSplit/>
      </w:trPr>
      <w:tc>
        <w:tcPr>
          <w:tcW w:w="0" w:type="pct"/>
        </w:tcPr>
        <w:p w:rsidR="00EC379B" w:rsidRDefault="00446E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46EF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29063</w:t>
          </w:r>
        </w:p>
      </w:tc>
      <w:tc>
        <w:tcPr>
          <w:tcW w:w="2453" w:type="pct"/>
        </w:tcPr>
        <w:p w:rsidR="00EC379B" w:rsidRDefault="00446E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19.113.439</w:t>
          </w:r>
          <w:r>
            <w:fldChar w:fldCharType="end"/>
          </w:r>
        </w:p>
      </w:tc>
    </w:tr>
    <w:tr w:rsidR="006419B9" w:rsidTr="009C1E9A">
      <w:trPr>
        <w:cantSplit/>
      </w:trPr>
      <w:tc>
        <w:tcPr>
          <w:tcW w:w="0" w:type="pct"/>
        </w:tcPr>
        <w:p w:rsidR="00EC379B" w:rsidRDefault="00446EF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46EF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</w:t>
          </w:r>
          <w:r>
            <w:rPr>
              <w:rFonts w:ascii="Shruti" w:hAnsi="Shruti"/>
              <w:sz w:val="22"/>
            </w:rPr>
            <w:t xml:space="preserve"> 86R 28873</w:t>
          </w:r>
        </w:p>
      </w:tc>
      <w:tc>
        <w:tcPr>
          <w:tcW w:w="2453" w:type="pct"/>
        </w:tcPr>
        <w:p w:rsidR="00EC379B" w:rsidRDefault="00446EF9" w:rsidP="006D504F">
          <w:pPr>
            <w:pStyle w:val="Footer"/>
            <w:rPr>
              <w:rStyle w:val="PageNumber"/>
            </w:rPr>
          </w:pPr>
        </w:p>
        <w:p w:rsidR="00EC379B" w:rsidRDefault="00446E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419B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46EF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46EF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46EF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46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6EF9">
      <w:pPr>
        <w:spacing w:line="240" w:lineRule="auto"/>
      </w:pPr>
      <w:r>
        <w:separator/>
      </w:r>
    </w:p>
  </w:footnote>
  <w:footnote w:type="continuationSeparator" w:id="0">
    <w:p w:rsidR="00000000" w:rsidRDefault="00446E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46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46E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46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83762"/>
    <w:multiLevelType w:val="hybridMultilevel"/>
    <w:tmpl w:val="EDD6E076"/>
    <w:lvl w:ilvl="0" w:tplc="EA148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83D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F846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00C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EB5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26F0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85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EC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90F0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9"/>
    <w:rsid w:val="00446EF9"/>
    <w:rsid w:val="0064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CE38D3-50CB-4DD2-B028-2C0033C5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C4D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4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4DE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4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4DED"/>
    <w:rPr>
      <w:b/>
      <w:bCs/>
    </w:rPr>
  </w:style>
  <w:style w:type="paragraph" w:styleId="Revision">
    <w:name w:val="Revision"/>
    <w:hidden/>
    <w:uiPriority w:val="99"/>
    <w:semiHidden/>
    <w:rsid w:val="00DD3A3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3311</Characters>
  <Application>Microsoft Office Word</Application>
  <DocSecurity>4</DocSecurity>
  <Lines>84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HB01644 (Committee Report (Substituted))</vt:lpstr>
    </vt:vector>
  </TitlesOfParts>
  <Company>State of Texas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29063</dc:subject>
  <dc:creator>State of Texas</dc:creator>
  <dc:description>HB 1644 by Martinez-(H)Transportation (Substitute Document Number: 86R 28873)</dc:description>
  <cp:lastModifiedBy>Scotty Wimberley</cp:lastModifiedBy>
  <cp:revision>2</cp:revision>
  <cp:lastPrinted>2019-04-22T22:50:00Z</cp:lastPrinted>
  <dcterms:created xsi:type="dcterms:W3CDTF">2019-04-26T18:47:00Z</dcterms:created>
  <dcterms:modified xsi:type="dcterms:W3CDTF">2019-04-26T18:47:00Z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19.113.439</vt:lpwstr>
  </property>
</Properties>
</file>