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43C7" w:rsidTr="00345119">
        <w:tc>
          <w:tcPr>
            <w:tcW w:w="9576" w:type="dxa"/>
            <w:noWrap/>
          </w:tcPr>
          <w:p w:rsidR="008423E4" w:rsidRPr="0022177D" w:rsidRDefault="00794D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94D0D" w:rsidP="008423E4">
      <w:pPr>
        <w:jc w:val="center"/>
      </w:pPr>
    </w:p>
    <w:p w:rsidR="008423E4" w:rsidRPr="00B31F0E" w:rsidRDefault="00794D0D" w:rsidP="008423E4"/>
    <w:p w:rsidR="008423E4" w:rsidRPr="00742794" w:rsidRDefault="00794D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43C7" w:rsidTr="00345119">
        <w:tc>
          <w:tcPr>
            <w:tcW w:w="9576" w:type="dxa"/>
          </w:tcPr>
          <w:p w:rsidR="008423E4" w:rsidRPr="00861995" w:rsidRDefault="00794D0D" w:rsidP="00345119">
            <w:pPr>
              <w:jc w:val="right"/>
            </w:pPr>
            <w:r>
              <w:t>H.B. 1689</w:t>
            </w:r>
          </w:p>
        </w:tc>
      </w:tr>
      <w:tr w:rsidR="00EE43C7" w:rsidTr="00345119">
        <w:tc>
          <w:tcPr>
            <w:tcW w:w="9576" w:type="dxa"/>
          </w:tcPr>
          <w:p w:rsidR="008423E4" w:rsidRPr="00861995" w:rsidRDefault="00794D0D" w:rsidP="00170B42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EE43C7" w:rsidTr="00345119">
        <w:tc>
          <w:tcPr>
            <w:tcW w:w="9576" w:type="dxa"/>
          </w:tcPr>
          <w:p w:rsidR="008423E4" w:rsidRPr="00861995" w:rsidRDefault="00794D0D" w:rsidP="00345119">
            <w:pPr>
              <w:jc w:val="right"/>
            </w:pPr>
            <w:r>
              <w:t>Juvenile Justice &amp; Family Issues</w:t>
            </w:r>
          </w:p>
        </w:tc>
      </w:tr>
      <w:tr w:rsidR="00EE43C7" w:rsidTr="00345119">
        <w:tc>
          <w:tcPr>
            <w:tcW w:w="9576" w:type="dxa"/>
          </w:tcPr>
          <w:p w:rsidR="008423E4" w:rsidRDefault="00794D0D" w:rsidP="00170B42">
            <w:pPr>
              <w:jc w:val="right"/>
            </w:pPr>
            <w:r>
              <w:t>Committee Report (Unamended)</w:t>
            </w:r>
          </w:p>
        </w:tc>
      </w:tr>
    </w:tbl>
    <w:p w:rsidR="008423E4" w:rsidRDefault="00794D0D" w:rsidP="008423E4">
      <w:pPr>
        <w:tabs>
          <w:tab w:val="right" w:pos="9360"/>
        </w:tabs>
      </w:pPr>
    </w:p>
    <w:p w:rsidR="008423E4" w:rsidRDefault="00794D0D" w:rsidP="008423E4"/>
    <w:p w:rsidR="008423E4" w:rsidRDefault="00794D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43C7" w:rsidTr="00345119">
        <w:tc>
          <w:tcPr>
            <w:tcW w:w="9576" w:type="dxa"/>
          </w:tcPr>
          <w:p w:rsidR="008423E4" w:rsidRPr="00A8133F" w:rsidRDefault="00794D0D" w:rsidP="00F31F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94D0D" w:rsidP="00F31FA7"/>
          <w:p w:rsidR="008423E4" w:rsidRDefault="00794D0D" w:rsidP="00F31FA7">
            <w:pPr>
              <w:pStyle w:val="Header"/>
              <w:jc w:val="both"/>
            </w:pPr>
            <w:r>
              <w:t xml:space="preserve">It has </w:t>
            </w:r>
            <w:r>
              <w:t xml:space="preserve">been noted </w:t>
            </w:r>
            <w:r>
              <w:t>that</w:t>
            </w:r>
            <w:r>
              <w:t xml:space="preserve"> </w:t>
            </w:r>
            <w:r>
              <w:t xml:space="preserve">a gestational agreement may complicate a </w:t>
            </w:r>
            <w:r>
              <w:t xml:space="preserve">suit for the dissolution of a marriage </w:t>
            </w:r>
            <w:r>
              <w:t xml:space="preserve">if certain disclosures regarding the agreement are not made in that suit </w:t>
            </w:r>
            <w:r>
              <w:t xml:space="preserve">and </w:t>
            </w:r>
            <w:r>
              <w:t xml:space="preserve">that a gestational agreement that is not </w:t>
            </w:r>
            <w:r>
              <w:t>substantially</w:t>
            </w:r>
            <w:r>
              <w:t xml:space="preserve"> compliant with state law </w:t>
            </w:r>
            <w:r>
              <w:t>may make it</w:t>
            </w:r>
            <w:r>
              <w:t xml:space="preserve"> difficult to establish a parent-child relationship or otherwise</w:t>
            </w:r>
            <w:r>
              <w:t xml:space="preserve"> enforce</w:t>
            </w:r>
            <w:r>
              <w:t xml:space="preserve"> </w:t>
            </w:r>
            <w:r>
              <w:t xml:space="preserve">a contract </w:t>
            </w:r>
            <w:r>
              <w:t>that</w:t>
            </w:r>
            <w:r>
              <w:t xml:space="preserve"> </w:t>
            </w:r>
            <w:r>
              <w:t xml:space="preserve">is not validated </w:t>
            </w:r>
            <w:r>
              <w:t xml:space="preserve">before </w:t>
            </w:r>
            <w:r>
              <w:t>embryo transfer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1689</w:t>
            </w:r>
            <w:r>
              <w:t xml:space="preserve"> seeks to address th</w:t>
            </w:r>
            <w:r>
              <w:t>ese</w:t>
            </w:r>
            <w:r>
              <w:t xml:space="preserve"> issue</w:t>
            </w:r>
            <w:r>
              <w:t>s</w:t>
            </w:r>
            <w:r>
              <w:t xml:space="preserve"> by providing certain disclosure requirements regarding the existence of a gestational agreement in a suit for the dissolution of </w:t>
            </w:r>
            <w:r>
              <w:t xml:space="preserve">a marriage and by providing for </w:t>
            </w:r>
            <w:r>
              <w:t xml:space="preserve">the </w:t>
            </w:r>
            <w:r>
              <w:t xml:space="preserve">standing </w:t>
            </w:r>
            <w:r>
              <w:t xml:space="preserve">of an intended parent </w:t>
            </w:r>
            <w:r>
              <w:t xml:space="preserve">under a </w:t>
            </w:r>
            <w:r>
              <w:t xml:space="preserve">substantially compliant </w:t>
            </w:r>
            <w:r>
              <w:t>gestational agreement to file a suit affecting the parent-child relationship.</w:t>
            </w:r>
          </w:p>
          <w:p w:rsidR="008423E4" w:rsidRPr="00E26B13" w:rsidRDefault="00794D0D" w:rsidP="00F31FA7">
            <w:pPr>
              <w:rPr>
                <w:b/>
              </w:rPr>
            </w:pPr>
          </w:p>
        </w:tc>
      </w:tr>
      <w:tr w:rsidR="00EE43C7" w:rsidTr="00345119">
        <w:tc>
          <w:tcPr>
            <w:tcW w:w="9576" w:type="dxa"/>
          </w:tcPr>
          <w:p w:rsidR="0017725B" w:rsidRDefault="00794D0D" w:rsidP="00F31F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94D0D" w:rsidP="00F31FA7">
            <w:pPr>
              <w:rPr>
                <w:b/>
                <w:u w:val="single"/>
              </w:rPr>
            </w:pPr>
          </w:p>
          <w:p w:rsidR="00A2430D" w:rsidRPr="00A2430D" w:rsidRDefault="00794D0D" w:rsidP="00F31FA7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94D0D" w:rsidP="00F31FA7">
            <w:pPr>
              <w:rPr>
                <w:b/>
                <w:u w:val="single"/>
              </w:rPr>
            </w:pPr>
          </w:p>
        </w:tc>
      </w:tr>
      <w:tr w:rsidR="00EE43C7" w:rsidTr="00345119">
        <w:tc>
          <w:tcPr>
            <w:tcW w:w="9576" w:type="dxa"/>
          </w:tcPr>
          <w:p w:rsidR="008423E4" w:rsidRPr="00A8133F" w:rsidRDefault="00794D0D" w:rsidP="00F31F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94D0D" w:rsidP="00F31FA7"/>
          <w:p w:rsidR="00A2430D" w:rsidRDefault="00794D0D" w:rsidP="00F31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794D0D" w:rsidP="00F31FA7">
            <w:pPr>
              <w:rPr>
                <w:b/>
              </w:rPr>
            </w:pPr>
          </w:p>
        </w:tc>
      </w:tr>
      <w:tr w:rsidR="00EE43C7" w:rsidTr="00345119">
        <w:tc>
          <w:tcPr>
            <w:tcW w:w="9576" w:type="dxa"/>
          </w:tcPr>
          <w:p w:rsidR="008423E4" w:rsidRPr="00A8133F" w:rsidRDefault="00794D0D" w:rsidP="00F31F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94D0D" w:rsidP="00F31FA7"/>
          <w:p w:rsidR="007C48F9" w:rsidRDefault="00794D0D" w:rsidP="00F31FA7">
            <w:pPr>
              <w:pStyle w:val="Header"/>
              <w:jc w:val="both"/>
            </w:pPr>
            <w:r>
              <w:t xml:space="preserve">H.B. 1689 amends the Family Code to </w:t>
            </w:r>
            <w:r>
              <w:t>require the petition in a suit for dissolution of a marriage</w:t>
            </w:r>
            <w:r>
              <w:t xml:space="preserve"> in which </w:t>
            </w:r>
            <w:r w:rsidRPr="003560FC">
              <w:t xml:space="preserve">the parties to </w:t>
            </w:r>
            <w:r>
              <w:t>the</w:t>
            </w:r>
            <w:r w:rsidRPr="003560FC">
              <w:t xml:space="preserve"> suit a</w:t>
            </w:r>
            <w:r w:rsidRPr="003560FC">
              <w:t>re the intended parents under a gestational agreement that is in effect and that establishes a parent-child relationship between the parties as intended parents and an unborn child on the</w:t>
            </w:r>
            <w:r>
              <w:t xml:space="preserve"> child's</w:t>
            </w:r>
            <w:r w:rsidRPr="003560FC">
              <w:t xml:space="preserve"> birth</w:t>
            </w:r>
            <w:r>
              <w:t xml:space="preserve"> </w:t>
            </w:r>
            <w:r w:rsidRPr="00EB015E">
              <w:t>to state</w:t>
            </w:r>
            <w:r>
              <w:t xml:space="preserve"> the following:</w:t>
            </w:r>
          </w:p>
          <w:p w:rsidR="007C48F9" w:rsidRDefault="00794D0D" w:rsidP="00F31FA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that the parties to the marria</w:t>
            </w:r>
            <w:r>
              <w:t>ge have entered into</w:t>
            </w:r>
            <w:r>
              <w:t xml:space="preserve"> such</w:t>
            </w:r>
            <w:r>
              <w:t xml:space="preserve"> a</w:t>
            </w:r>
            <w:r>
              <w:t>n</w:t>
            </w:r>
            <w:r>
              <w:t xml:space="preserve"> agreement; </w:t>
            </w:r>
          </w:p>
          <w:p w:rsidR="007C48F9" w:rsidRDefault="00794D0D" w:rsidP="00F31FA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whether the gestational mother under the agreement is pregnant or a child who is the subject</w:t>
            </w:r>
            <w:r>
              <w:t xml:space="preserve"> of the agreement has been born</w:t>
            </w:r>
            <w:r>
              <w:t xml:space="preserve">; </w:t>
            </w:r>
            <w:r>
              <w:t xml:space="preserve">and </w:t>
            </w:r>
          </w:p>
          <w:p w:rsidR="007C48F9" w:rsidRDefault="00794D0D" w:rsidP="00F31FA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whether the agreement has been validated</w:t>
            </w:r>
            <w:r>
              <w:t xml:space="preserve"> </w:t>
            </w:r>
            <w:r w:rsidRPr="00EB015E">
              <w:t>under the Uniform Parentage Act</w:t>
            </w:r>
            <w:r>
              <w:t>.</w:t>
            </w:r>
            <w:r>
              <w:t xml:space="preserve"> </w:t>
            </w:r>
          </w:p>
          <w:p w:rsidR="00302681" w:rsidRDefault="00794D0D" w:rsidP="00F31FA7">
            <w:pPr>
              <w:pStyle w:val="Header"/>
              <w:spacing w:before="120" w:after="120"/>
              <w:jc w:val="both"/>
            </w:pPr>
          </w:p>
          <w:p w:rsidR="00887587" w:rsidRDefault="00794D0D" w:rsidP="00F31FA7">
            <w:pPr>
              <w:pStyle w:val="Header"/>
              <w:spacing w:before="120" w:after="120"/>
              <w:jc w:val="both"/>
            </w:pPr>
            <w:r>
              <w:t xml:space="preserve">H.B. 1689 authorizes </w:t>
            </w:r>
            <w:r w:rsidRPr="00B31357">
              <w:t xml:space="preserve">an original suit affecting the parent-child relationship to be filed </w:t>
            </w:r>
            <w:r>
              <w:t xml:space="preserve">at any time </w:t>
            </w:r>
            <w:r w:rsidRPr="00B31357">
              <w:t xml:space="preserve">by </w:t>
            </w:r>
            <w:r w:rsidRPr="00887587">
              <w:t xml:space="preserve">a person who is an intended parent of a child or unborn child under a </w:t>
            </w:r>
            <w:r>
              <w:t xml:space="preserve">compliant </w:t>
            </w:r>
            <w:r w:rsidRPr="00887587">
              <w:t>gestational agreement</w:t>
            </w:r>
            <w:r>
              <w:t xml:space="preserve"> </w:t>
            </w:r>
            <w:r>
              <w:t xml:space="preserve">if the person is filing </w:t>
            </w:r>
            <w:r>
              <w:t xml:space="preserve">an original suit jointly </w:t>
            </w:r>
            <w:r>
              <w:t>with the other intended parent under the agreement</w:t>
            </w:r>
            <w:r>
              <w:t xml:space="preserve"> </w:t>
            </w:r>
            <w:r w:rsidRPr="00C0694F">
              <w:t>or if the person is filing an original suit against th</w:t>
            </w:r>
            <w:r>
              <w:t>at</w:t>
            </w:r>
            <w:r w:rsidRPr="00C0694F">
              <w:t xml:space="preserve"> other intended parent</w:t>
            </w:r>
            <w:r>
              <w:t>.</w:t>
            </w:r>
          </w:p>
          <w:p w:rsidR="008423E4" w:rsidRPr="00835628" w:rsidRDefault="00794D0D" w:rsidP="00F31FA7">
            <w:pPr>
              <w:rPr>
                <w:b/>
              </w:rPr>
            </w:pPr>
          </w:p>
        </w:tc>
      </w:tr>
      <w:tr w:rsidR="00EE43C7" w:rsidTr="00345119">
        <w:tc>
          <w:tcPr>
            <w:tcW w:w="9576" w:type="dxa"/>
          </w:tcPr>
          <w:p w:rsidR="008423E4" w:rsidRPr="00A8133F" w:rsidRDefault="00794D0D" w:rsidP="00F31F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94D0D" w:rsidP="00F31FA7"/>
          <w:p w:rsidR="008423E4" w:rsidRPr="003624F2" w:rsidRDefault="00794D0D" w:rsidP="00F31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94D0D" w:rsidP="00F31FA7">
            <w:pPr>
              <w:rPr>
                <w:b/>
              </w:rPr>
            </w:pPr>
          </w:p>
        </w:tc>
      </w:tr>
    </w:tbl>
    <w:p w:rsidR="004108C3" w:rsidRPr="008423E4" w:rsidRDefault="00794D0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4D0D">
      <w:r>
        <w:separator/>
      </w:r>
    </w:p>
  </w:endnote>
  <w:endnote w:type="continuationSeparator" w:id="0">
    <w:p w:rsidR="00000000" w:rsidRDefault="0079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4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43C7" w:rsidTr="009C1E9A">
      <w:trPr>
        <w:cantSplit/>
      </w:trPr>
      <w:tc>
        <w:tcPr>
          <w:tcW w:w="0" w:type="pct"/>
        </w:tcPr>
        <w:p w:rsidR="00137D90" w:rsidRDefault="00794D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4D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94D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4D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4D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43C7" w:rsidTr="009C1E9A">
      <w:trPr>
        <w:cantSplit/>
      </w:trPr>
      <w:tc>
        <w:tcPr>
          <w:tcW w:w="0" w:type="pct"/>
        </w:tcPr>
        <w:p w:rsidR="00EC379B" w:rsidRDefault="00794D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4D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19221</w:t>
          </w:r>
        </w:p>
      </w:tc>
      <w:tc>
        <w:tcPr>
          <w:tcW w:w="2453" w:type="pct"/>
        </w:tcPr>
        <w:p w:rsidR="00EC379B" w:rsidRDefault="00794D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19.69.158</w:t>
          </w:r>
          <w:r>
            <w:fldChar w:fldCharType="end"/>
          </w:r>
        </w:p>
      </w:tc>
    </w:tr>
    <w:tr w:rsidR="00EE43C7" w:rsidTr="009C1E9A">
      <w:trPr>
        <w:cantSplit/>
      </w:trPr>
      <w:tc>
        <w:tcPr>
          <w:tcW w:w="0" w:type="pct"/>
        </w:tcPr>
        <w:p w:rsidR="00EC379B" w:rsidRDefault="00794D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4D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94D0D" w:rsidP="006D504F">
          <w:pPr>
            <w:pStyle w:val="Footer"/>
            <w:rPr>
              <w:rStyle w:val="PageNumber"/>
            </w:rPr>
          </w:pPr>
        </w:p>
        <w:p w:rsidR="00EC379B" w:rsidRDefault="00794D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43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4D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94D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4D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4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4D0D">
      <w:r>
        <w:separator/>
      </w:r>
    </w:p>
  </w:footnote>
  <w:footnote w:type="continuationSeparator" w:id="0">
    <w:p w:rsidR="00000000" w:rsidRDefault="0079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4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4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4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37EF"/>
    <w:multiLevelType w:val="hybridMultilevel"/>
    <w:tmpl w:val="FC46CD98"/>
    <w:lvl w:ilvl="0" w:tplc="5914D9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0D0090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CC4A97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D62BCB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D6E9C1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445BA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E4E552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3A667C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CBE1C3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7"/>
    <w:rsid w:val="00794D0D"/>
    <w:rsid w:val="00E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F539F3-1385-4628-8E62-51AAC0A5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29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9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2029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HB01689 (Committee Report (Unamended))</vt:lpstr>
    </vt:vector>
  </TitlesOfParts>
  <Company>State of Texas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19221</dc:subject>
  <dc:creator>State of Texas</dc:creator>
  <dc:description>HB 1689 by Deshotel-(H)Juvenile Justice &amp; Family Issues</dc:description>
  <cp:lastModifiedBy>Laura Ramsay</cp:lastModifiedBy>
  <cp:revision>2</cp:revision>
  <cp:lastPrinted>2003-11-26T17:21:00Z</cp:lastPrinted>
  <dcterms:created xsi:type="dcterms:W3CDTF">2019-04-01T22:36:00Z</dcterms:created>
  <dcterms:modified xsi:type="dcterms:W3CDTF">2019-04-01T22:36:00Z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19.69.158</vt:lpwstr>
  </property>
</Properties>
</file>