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83C2A" w:rsidTr="00345119">
        <w:tc>
          <w:tcPr>
            <w:tcW w:w="9576" w:type="dxa"/>
            <w:noWrap/>
          </w:tcPr>
          <w:p w:rsidR="008423E4" w:rsidRPr="0022177D" w:rsidRDefault="00326E62" w:rsidP="00345119">
            <w:pPr>
              <w:pStyle w:val="Heading1"/>
            </w:pPr>
            <w:bookmarkStart w:id="0" w:name="_GoBack"/>
            <w:bookmarkEnd w:id="0"/>
            <w:r w:rsidRPr="00631897">
              <w:t>BILL ANALYSIS</w:t>
            </w:r>
          </w:p>
        </w:tc>
      </w:tr>
    </w:tbl>
    <w:p w:rsidR="008423E4" w:rsidRPr="0022177D" w:rsidRDefault="00326E62" w:rsidP="008423E4">
      <w:pPr>
        <w:jc w:val="center"/>
      </w:pPr>
    </w:p>
    <w:p w:rsidR="008423E4" w:rsidRPr="00B31F0E" w:rsidRDefault="00326E62" w:rsidP="008423E4"/>
    <w:p w:rsidR="008423E4" w:rsidRPr="00742794" w:rsidRDefault="00326E62" w:rsidP="008423E4">
      <w:pPr>
        <w:tabs>
          <w:tab w:val="right" w:pos="9360"/>
        </w:tabs>
      </w:pPr>
    </w:p>
    <w:tbl>
      <w:tblPr>
        <w:tblW w:w="0" w:type="auto"/>
        <w:tblLayout w:type="fixed"/>
        <w:tblLook w:val="01E0" w:firstRow="1" w:lastRow="1" w:firstColumn="1" w:lastColumn="1" w:noHBand="0" w:noVBand="0"/>
      </w:tblPr>
      <w:tblGrid>
        <w:gridCol w:w="9576"/>
      </w:tblGrid>
      <w:tr w:rsidR="00983C2A" w:rsidTr="00345119">
        <w:tc>
          <w:tcPr>
            <w:tcW w:w="9576" w:type="dxa"/>
          </w:tcPr>
          <w:p w:rsidR="008423E4" w:rsidRPr="00861995" w:rsidRDefault="00326E62" w:rsidP="00345119">
            <w:pPr>
              <w:jc w:val="right"/>
            </w:pPr>
            <w:r>
              <w:t>C.S.H.B. 1693</w:t>
            </w:r>
          </w:p>
        </w:tc>
      </w:tr>
      <w:tr w:rsidR="00983C2A" w:rsidTr="00345119">
        <w:tc>
          <w:tcPr>
            <w:tcW w:w="9576" w:type="dxa"/>
          </w:tcPr>
          <w:p w:rsidR="008423E4" w:rsidRPr="00861995" w:rsidRDefault="00326E62" w:rsidP="00FE46D4">
            <w:pPr>
              <w:jc w:val="right"/>
            </w:pPr>
            <w:r>
              <w:t xml:space="preserve">By: </w:t>
            </w:r>
            <w:r>
              <w:t>Smithee</w:t>
            </w:r>
          </w:p>
        </w:tc>
      </w:tr>
      <w:tr w:rsidR="00983C2A" w:rsidTr="00345119">
        <w:tc>
          <w:tcPr>
            <w:tcW w:w="9576" w:type="dxa"/>
          </w:tcPr>
          <w:p w:rsidR="008423E4" w:rsidRPr="00861995" w:rsidRDefault="00326E62" w:rsidP="00345119">
            <w:pPr>
              <w:jc w:val="right"/>
            </w:pPr>
            <w:r>
              <w:t>Judiciary &amp; Civil Jurisprudence</w:t>
            </w:r>
          </w:p>
        </w:tc>
      </w:tr>
      <w:tr w:rsidR="00983C2A" w:rsidTr="00345119">
        <w:tc>
          <w:tcPr>
            <w:tcW w:w="9576" w:type="dxa"/>
          </w:tcPr>
          <w:p w:rsidR="008423E4" w:rsidRDefault="00326E62" w:rsidP="00345119">
            <w:pPr>
              <w:jc w:val="right"/>
            </w:pPr>
            <w:r>
              <w:t>Committee Report (Substituted)</w:t>
            </w:r>
          </w:p>
        </w:tc>
      </w:tr>
    </w:tbl>
    <w:p w:rsidR="008423E4" w:rsidRDefault="00326E62" w:rsidP="008423E4">
      <w:pPr>
        <w:tabs>
          <w:tab w:val="right" w:pos="9360"/>
        </w:tabs>
      </w:pPr>
    </w:p>
    <w:p w:rsidR="008423E4" w:rsidRDefault="00326E62" w:rsidP="008423E4"/>
    <w:p w:rsidR="008423E4" w:rsidRDefault="00326E62" w:rsidP="008423E4"/>
    <w:tbl>
      <w:tblPr>
        <w:tblW w:w="0" w:type="auto"/>
        <w:tblCellMar>
          <w:left w:w="115" w:type="dxa"/>
          <w:right w:w="115" w:type="dxa"/>
        </w:tblCellMar>
        <w:tblLook w:val="01E0" w:firstRow="1" w:lastRow="1" w:firstColumn="1" w:lastColumn="1" w:noHBand="0" w:noVBand="0"/>
      </w:tblPr>
      <w:tblGrid>
        <w:gridCol w:w="9576"/>
      </w:tblGrid>
      <w:tr w:rsidR="00983C2A" w:rsidTr="00345119">
        <w:tc>
          <w:tcPr>
            <w:tcW w:w="9576" w:type="dxa"/>
          </w:tcPr>
          <w:p w:rsidR="008423E4" w:rsidRPr="00A8133F" w:rsidRDefault="00326E62" w:rsidP="004D66FB">
            <w:pPr>
              <w:rPr>
                <w:b/>
              </w:rPr>
            </w:pPr>
            <w:r w:rsidRPr="009C1E9A">
              <w:rPr>
                <w:b/>
                <w:u w:val="single"/>
              </w:rPr>
              <w:t>BACKGROUND AND PURPOSE</w:t>
            </w:r>
            <w:r>
              <w:rPr>
                <w:b/>
              </w:rPr>
              <w:t xml:space="preserve"> </w:t>
            </w:r>
          </w:p>
          <w:p w:rsidR="008423E4" w:rsidRDefault="00326E62" w:rsidP="004D66FB"/>
          <w:p w:rsidR="008423E4" w:rsidRDefault="00326E62" w:rsidP="004D66FB">
            <w:pPr>
              <w:pStyle w:val="Header"/>
              <w:tabs>
                <w:tab w:val="clear" w:pos="4320"/>
                <w:tab w:val="clear" w:pos="8640"/>
              </w:tabs>
              <w:jc w:val="both"/>
            </w:pPr>
            <w:r>
              <w:t xml:space="preserve">It has been suggested that while </w:t>
            </w:r>
            <w:r>
              <w:t xml:space="preserve">the affidavit process currently in use </w:t>
            </w:r>
            <w:r>
              <w:t>for certain civil actions</w:t>
            </w:r>
            <w:r>
              <w:t xml:space="preserve"> in which a party seeks to prove the cost and necessity of services may be a useful and relatively inexpensive one, certain aspects may require clarification to ensure fair treatment for all parties. </w:t>
            </w:r>
            <w:r>
              <w:t>C.S.</w:t>
            </w:r>
            <w:r>
              <w:t>H.B. 1693 seeks to provide greater clarity by revisi</w:t>
            </w:r>
            <w:r>
              <w:t>ng certain deadlines</w:t>
            </w:r>
            <w:r>
              <w:t xml:space="preserve"> and</w:t>
            </w:r>
            <w:r>
              <w:t xml:space="preserve"> clarifying the nature of findings supported</w:t>
            </w:r>
            <w:r>
              <w:t xml:space="preserve"> by such affidavits.</w:t>
            </w:r>
            <w:r>
              <w:t xml:space="preserve"> </w:t>
            </w:r>
          </w:p>
          <w:p w:rsidR="008423E4" w:rsidRPr="00E26B13" w:rsidRDefault="00326E62" w:rsidP="004D66FB">
            <w:pPr>
              <w:rPr>
                <w:b/>
              </w:rPr>
            </w:pPr>
          </w:p>
        </w:tc>
      </w:tr>
      <w:tr w:rsidR="00983C2A" w:rsidTr="00345119">
        <w:tc>
          <w:tcPr>
            <w:tcW w:w="9576" w:type="dxa"/>
          </w:tcPr>
          <w:p w:rsidR="0017725B" w:rsidRDefault="00326E62" w:rsidP="004D66FB">
            <w:pPr>
              <w:rPr>
                <w:b/>
                <w:u w:val="single"/>
              </w:rPr>
            </w:pPr>
            <w:r>
              <w:rPr>
                <w:b/>
                <w:u w:val="single"/>
              </w:rPr>
              <w:t>CRIMINAL JUSTICE IMPACT</w:t>
            </w:r>
          </w:p>
          <w:p w:rsidR="0017725B" w:rsidRDefault="00326E62" w:rsidP="004D66FB">
            <w:pPr>
              <w:rPr>
                <w:b/>
                <w:u w:val="single"/>
              </w:rPr>
            </w:pPr>
          </w:p>
          <w:p w:rsidR="00AA6457" w:rsidRPr="00AA6457" w:rsidRDefault="00326E62" w:rsidP="004D66FB">
            <w:pPr>
              <w:jc w:val="both"/>
            </w:pPr>
            <w:r>
              <w:t>It is the committee's opinion that this bill does not expressly create a criminal offense, increase the punishment for an existing criminal</w:t>
            </w:r>
            <w:r>
              <w:t xml:space="preserve"> offense or category of offenses, or change the eligibility of a person for community supervision, parole, or mandatory supervision.</w:t>
            </w:r>
          </w:p>
          <w:p w:rsidR="0017725B" w:rsidRPr="0017725B" w:rsidRDefault="00326E62" w:rsidP="004D66FB">
            <w:pPr>
              <w:rPr>
                <w:b/>
                <w:u w:val="single"/>
              </w:rPr>
            </w:pPr>
          </w:p>
        </w:tc>
      </w:tr>
      <w:tr w:rsidR="00983C2A" w:rsidTr="00345119">
        <w:tc>
          <w:tcPr>
            <w:tcW w:w="9576" w:type="dxa"/>
          </w:tcPr>
          <w:p w:rsidR="008423E4" w:rsidRPr="00A8133F" w:rsidRDefault="00326E62" w:rsidP="004D66FB">
            <w:pPr>
              <w:rPr>
                <w:b/>
              </w:rPr>
            </w:pPr>
            <w:r w:rsidRPr="009C1E9A">
              <w:rPr>
                <w:b/>
                <w:u w:val="single"/>
              </w:rPr>
              <w:t>RULEMAKING AUTHORITY</w:t>
            </w:r>
            <w:r>
              <w:rPr>
                <w:b/>
              </w:rPr>
              <w:t xml:space="preserve"> </w:t>
            </w:r>
          </w:p>
          <w:p w:rsidR="008423E4" w:rsidRDefault="00326E62" w:rsidP="004D66FB"/>
          <w:p w:rsidR="00AA6457" w:rsidRDefault="00326E62" w:rsidP="004D66FB">
            <w:pPr>
              <w:pStyle w:val="Header"/>
              <w:tabs>
                <w:tab w:val="clear" w:pos="4320"/>
                <w:tab w:val="clear" w:pos="8640"/>
              </w:tabs>
              <w:jc w:val="both"/>
            </w:pPr>
            <w:r>
              <w:t>It is the committee's opinion that this bill does not expressly grant any additional rulemaking au</w:t>
            </w:r>
            <w:r>
              <w:t>thority to a state officer, department, agency, or institution.</w:t>
            </w:r>
          </w:p>
          <w:p w:rsidR="008423E4" w:rsidRPr="00E21FDC" w:rsidRDefault="00326E62" w:rsidP="004D66FB">
            <w:pPr>
              <w:rPr>
                <w:b/>
              </w:rPr>
            </w:pPr>
          </w:p>
        </w:tc>
      </w:tr>
      <w:tr w:rsidR="00983C2A" w:rsidTr="00345119">
        <w:tc>
          <w:tcPr>
            <w:tcW w:w="9576" w:type="dxa"/>
          </w:tcPr>
          <w:p w:rsidR="008423E4" w:rsidRPr="00A8133F" w:rsidRDefault="00326E62" w:rsidP="004D66FB">
            <w:pPr>
              <w:rPr>
                <w:b/>
              </w:rPr>
            </w:pPr>
            <w:r w:rsidRPr="009C1E9A">
              <w:rPr>
                <w:b/>
                <w:u w:val="single"/>
              </w:rPr>
              <w:t>ANALYSIS</w:t>
            </w:r>
            <w:r>
              <w:rPr>
                <w:b/>
              </w:rPr>
              <w:t xml:space="preserve"> </w:t>
            </w:r>
          </w:p>
          <w:p w:rsidR="008423E4" w:rsidRDefault="00326E62" w:rsidP="004D66FB"/>
          <w:p w:rsidR="00207283" w:rsidRDefault="00326E62" w:rsidP="004D66FB">
            <w:pPr>
              <w:pStyle w:val="Header"/>
              <w:tabs>
                <w:tab w:val="clear" w:pos="4320"/>
                <w:tab w:val="clear" w:pos="8640"/>
              </w:tabs>
              <w:jc w:val="both"/>
            </w:pPr>
            <w:r>
              <w:t>C.S.</w:t>
            </w:r>
            <w:r>
              <w:t xml:space="preserve">H.B. 1693 amends the Civil Practice and Remedies Code </w:t>
            </w:r>
            <w:r>
              <w:t xml:space="preserve">to </w:t>
            </w:r>
            <w:r>
              <w:t>establish that an affidavit</w:t>
            </w:r>
            <w:r>
              <w:t xml:space="preserve"> that the amount a person charged for a service was reasonable at the time and place that the service was provided and that the service was necessary is not evidence of and does not support a finding of the causation element of a cause of action that is th</w:t>
            </w:r>
            <w:r>
              <w:t>e basis for a civil action.</w:t>
            </w:r>
            <w:r>
              <w:t xml:space="preserve"> </w:t>
            </w:r>
            <w:r>
              <w:t xml:space="preserve">The bill </w:t>
            </w:r>
            <w:r>
              <w:t xml:space="preserve">changes the deadline by which the party </w:t>
            </w:r>
            <w:r>
              <w:t xml:space="preserve">offering such an affidavit in evidence </w:t>
            </w:r>
            <w:r>
              <w:t xml:space="preserve">or </w:t>
            </w:r>
            <w:r>
              <w:t xml:space="preserve">that </w:t>
            </w:r>
            <w:r>
              <w:t xml:space="preserve">party's attorney must serve a copy of the affidavit on each other party to the case </w:t>
            </w:r>
            <w:r>
              <w:t xml:space="preserve">from </w:t>
            </w:r>
            <w:r w:rsidRPr="00DE58EE">
              <w:t>at least 30 days before the day on which ev</w:t>
            </w:r>
            <w:r w:rsidRPr="00DE58EE">
              <w:t>idence is first presented at the trial</w:t>
            </w:r>
            <w:r>
              <w:t xml:space="preserve"> </w:t>
            </w:r>
            <w:r>
              <w:t xml:space="preserve">to the earlier of </w:t>
            </w:r>
            <w:r>
              <w:t>the following:</w:t>
            </w:r>
          </w:p>
          <w:p w:rsidR="00207283" w:rsidRDefault="00326E62" w:rsidP="004D66FB">
            <w:pPr>
              <w:pStyle w:val="Header"/>
              <w:numPr>
                <w:ilvl w:val="0"/>
                <w:numId w:val="1"/>
              </w:numPr>
              <w:tabs>
                <w:tab w:val="clear" w:pos="4320"/>
                <w:tab w:val="clear" w:pos="8640"/>
              </w:tabs>
              <w:spacing w:before="120" w:after="120"/>
              <w:jc w:val="both"/>
            </w:pPr>
            <w:r>
              <w:t xml:space="preserve">90 days </w:t>
            </w:r>
            <w:r>
              <w:t>after the date the defendant files an answer</w:t>
            </w:r>
            <w:r>
              <w:t>;</w:t>
            </w:r>
          </w:p>
          <w:p w:rsidR="00207283" w:rsidRDefault="00326E62" w:rsidP="004D66FB">
            <w:pPr>
              <w:pStyle w:val="Header"/>
              <w:numPr>
                <w:ilvl w:val="0"/>
                <w:numId w:val="1"/>
              </w:numPr>
              <w:tabs>
                <w:tab w:val="clear" w:pos="4320"/>
                <w:tab w:val="clear" w:pos="8640"/>
              </w:tabs>
              <w:spacing w:before="120" w:after="120"/>
              <w:jc w:val="both"/>
            </w:pPr>
            <w:r>
              <w:t>the date the offering party must designate any expert witness</w:t>
            </w:r>
            <w:r>
              <w:t>es</w:t>
            </w:r>
            <w:r>
              <w:t xml:space="preserve"> under a </w:t>
            </w:r>
            <w:r>
              <w:t xml:space="preserve">court </w:t>
            </w:r>
            <w:r>
              <w:t>order</w:t>
            </w:r>
            <w:r>
              <w:t>;</w:t>
            </w:r>
            <w:r>
              <w:t xml:space="preserve"> or </w:t>
            </w:r>
          </w:p>
          <w:p w:rsidR="00207283" w:rsidRDefault="00326E62" w:rsidP="004D66FB">
            <w:pPr>
              <w:pStyle w:val="Header"/>
              <w:numPr>
                <w:ilvl w:val="0"/>
                <w:numId w:val="1"/>
              </w:numPr>
              <w:tabs>
                <w:tab w:val="clear" w:pos="4320"/>
                <w:tab w:val="clear" w:pos="8640"/>
              </w:tabs>
              <w:spacing w:before="120" w:after="120"/>
              <w:jc w:val="both"/>
            </w:pPr>
            <w:r>
              <w:t>the date the offering party must designat</w:t>
            </w:r>
            <w:r>
              <w:t xml:space="preserve">e any expert witness </w:t>
            </w:r>
            <w:r>
              <w:t>as required by the Texas Rules of Civil Procedure</w:t>
            </w:r>
            <w:r>
              <w:t>.</w:t>
            </w:r>
            <w:r>
              <w:t xml:space="preserve"> </w:t>
            </w:r>
          </w:p>
          <w:p w:rsidR="008423E4" w:rsidRDefault="00326E62" w:rsidP="004D66FB">
            <w:pPr>
              <w:pStyle w:val="Header"/>
              <w:tabs>
                <w:tab w:val="clear" w:pos="4320"/>
                <w:tab w:val="clear" w:pos="8640"/>
              </w:tabs>
              <w:jc w:val="both"/>
            </w:pPr>
            <w:r>
              <w:t>The bill requires the offering party or attorney</w:t>
            </w:r>
            <w:r>
              <w:t xml:space="preserve">, if </w:t>
            </w:r>
            <w:r w:rsidRPr="002C01F1">
              <w:t>services</w:t>
            </w:r>
            <w:r>
              <w:t xml:space="preserve"> are first provided later than 90 days after the date the defendant files an answer,</w:t>
            </w:r>
            <w:r>
              <w:t xml:space="preserve"> to serve a copy of the affidavit on e</w:t>
            </w:r>
            <w:r>
              <w:t>ach other party to the case by the date the offering party must designate any expert witness as required by the Texas Rules of Civil Procedure.</w:t>
            </w:r>
            <w:r>
              <w:t xml:space="preserve"> The bill requires the </w:t>
            </w:r>
            <w:r>
              <w:t xml:space="preserve">offering </w:t>
            </w:r>
            <w:r>
              <w:t>party or attorney</w:t>
            </w:r>
            <w:r>
              <w:t xml:space="preserve">, </w:t>
            </w:r>
            <w:r>
              <w:t xml:space="preserve">when </w:t>
            </w:r>
            <w:r>
              <w:t>serving</w:t>
            </w:r>
            <w:r>
              <w:t xml:space="preserve"> the affidavit</w:t>
            </w:r>
            <w:r>
              <w:t xml:space="preserve">, </w:t>
            </w:r>
            <w:r>
              <w:t>to file notice</w:t>
            </w:r>
            <w:r>
              <w:t xml:space="preserve"> of that </w:t>
            </w:r>
            <w:r>
              <w:t>servi</w:t>
            </w:r>
            <w:r>
              <w:t>ce</w:t>
            </w:r>
            <w:r>
              <w:t xml:space="preserve"> wit</w:t>
            </w:r>
            <w:r>
              <w:t xml:space="preserve">h the </w:t>
            </w:r>
            <w:r>
              <w:t xml:space="preserve">court </w:t>
            </w:r>
            <w:r>
              <w:t xml:space="preserve">clerk. </w:t>
            </w:r>
          </w:p>
          <w:p w:rsidR="00984008" w:rsidRDefault="00326E62" w:rsidP="004D66FB">
            <w:pPr>
              <w:pStyle w:val="Header"/>
              <w:tabs>
                <w:tab w:val="clear" w:pos="4320"/>
                <w:tab w:val="clear" w:pos="8640"/>
              </w:tabs>
              <w:jc w:val="both"/>
            </w:pPr>
          </w:p>
          <w:p w:rsidR="00BA1537" w:rsidRDefault="00326E62" w:rsidP="004D66FB">
            <w:pPr>
              <w:pStyle w:val="Header"/>
              <w:tabs>
                <w:tab w:val="clear" w:pos="4320"/>
                <w:tab w:val="clear" w:pos="8640"/>
              </w:tabs>
              <w:jc w:val="both"/>
            </w:pPr>
            <w:r>
              <w:t>C.S.</w:t>
            </w:r>
            <w:r>
              <w:t xml:space="preserve">H.B. 1693 </w:t>
            </w:r>
            <w:r>
              <w:t xml:space="preserve">revises </w:t>
            </w:r>
            <w:r>
              <w:t>the deadline by which a party intending to controvert a claim reflected by such an affidavit must serve a copy of the counteraffidavit on each other party or</w:t>
            </w:r>
            <w:r>
              <w:t xml:space="preserve"> the</w:t>
            </w:r>
            <w:r>
              <w:t xml:space="preserve"> party's attorney of record to</w:t>
            </w:r>
            <w:r>
              <w:t xml:space="preserve"> require such service by</w:t>
            </w:r>
            <w:r>
              <w:t xml:space="preserve"> the earlier of</w:t>
            </w:r>
            <w:r>
              <w:t xml:space="preserve"> the following:</w:t>
            </w:r>
          </w:p>
          <w:p w:rsidR="00BA1537" w:rsidRDefault="00326E62" w:rsidP="004D66FB">
            <w:pPr>
              <w:pStyle w:val="Header"/>
              <w:numPr>
                <w:ilvl w:val="0"/>
                <w:numId w:val="2"/>
              </w:numPr>
              <w:tabs>
                <w:tab w:val="clear" w:pos="4320"/>
                <w:tab w:val="clear" w:pos="8640"/>
              </w:tabs>
              <w:spacing w:before="120" w:after="120"/>
              <w:jc w:val="both"/>
            </w:pPr>
            <w:r>
              <w:t>120</w:t>
            </w:r>
            <w:r>
              <w:t xml:space="preserve"> days </w:t>
            </w:r>
            <w:r>
              <w:t>after the date the defendant files its answer</w:t>
            </w:r>
            <w:r>
              <w:t>;</w:t>
            </w:r>
          </w:p>
          <w:p w:rsidR="00BA1537" w:rsidRDefault="00326E62" w:rsidP="004D66FB">
            <w:pPr>
              <w:pStyle w:val="Header"/>
              <w:numPr>
                <w:ilvl w:val="0"/>
                <w:numId w:val="2"/>
              </w:numPr>
              <w:tabs>
                <w:tab w:val="clear" w:pos="4320"/>
                <w:tab w:val="clear" w:pos="8640"/>
              </w:tabs>
              <w:spacing w:before="120" w:after="120"/>
              <w:jc w:val="both"/>
            </w:pPr>
            <w:r>
              <w:t>the date the party</w:t>
            </w:r>
            <w:r>
              <w:t xml:space="preserve"> offering the counteraffidavit</w:t>
            </w:r>
            <w:r>
              <w:t xml:space="preserve"> must designate expert witnesses under a </w:t>
            </w:r>
            <w:r>
              <w:t xml:space="preserve">court </w:t>
            </w:r>
            <w:r>
              <w:t>order</w:t>
            </w:r>
            <w:r>
              <w:t>;</w:t>
            </w:r>
            <w:r>
              <w:t xml:space="preserve"> or </w:t>
            </w:r>
          </w:p>
          <w:p w:rsidR="00BA1537" w:rsidRDefault="00326E62" w:rsidP="004D66FB">
            <w:pPr>
              <w:pStyle w:val="Header"/>
              <w:numPr>
                <w:ilvl w:val="0"/>
                <w:numId w:val="2"/>
              </w:numPr>
              <w:tabs>
                <w:tab w:val="clear" w:pos="4320"/>
                <w:tab w:val="clear" w:pos="8640"/>
              </w:tabs>
              <w:spacing w:before="120" w:after="120"/>
              <w:jc w:val="both"/>
            </w:pPr>
            <w:r>
              <w:t>the date the party offering the counter</w:t>
            </w:r>
            <w:r>
              <w:t>affidavit must designate any expert witness as required by the Texas Rules of Civil Procedure</w:t>
            </w:r>
            <w:r>
              <w:t>.</w:t>
            </w:r>
            <w:r>
              <w:t xml:space="preserve"> </w:t>
            </w:r>
          </w:p>
          <w:p w:rsidR="00363B37" w:rsidRDefault="00326E62" w:rsidP="004D66FB">
            <w:pPr>
              <w:pStyle w:val="Header"/>
              <w:tabs>
                <w:tab w:val="clear" w:pos="4320"/>
                <w:tab w:val="clear" w:pos="8640"/>
              </w:tabs>
              <w:jc w:val="both"/>
            </w:pPr>
            <w:r>
              <w:t>The bill requires the party offering the counteraffidavit</w:t>
            </w:r>
            <w:r>
              <w:t xml:space="preserve"> in evidence or the party's attorney</w:t>
            </w:r>
            <w:r>
              <w:t xml:space="preserve">, </w:t>
            </w:r>
            <w:r w:rsidRPr="00883B11">
              <w:t xml:space="preserve">if the </w:t>
            </w:r>
            <w:r w:rsidRPr="00883B11">
              <w:t>applicable services</w:t>
            </w:r>
            <w:r>
              <w:t xml:space="preserve"> are first provided later than 90 days </w:t>
            </w:r>
            <w:r>
              <w:t>after the date the defendant files an answer</w:t>
            </w:r>
            <w:r>
              <w:t>, to serve a copy of the counteraffidavit on each other party to the case by the later of 30 days after service of the affidavit on the party offering the counteraffidavit or the date that party must designate an</w:t>
            </w:r>
            <w:r>
              <w:t>y expert witness as required by the Texas Rules of Civil Procedure.</w:t>
            </w:r>
          </w:p>
          <w:p w:rsidR="00D55729" w:rsidRDefault="00326E62" w:rsidP="004D66FB">
            <w:pPr>
              <w:pStyle w:val="Header"/>
              <w:tabs>
                <w:tab w:val="clear" w:pos="4320"/>
                <w:tab w:val="clear" w:pos="8640"/>
              </w:tabs>
              <w:jc w:val="both"/>
            </w:pPr>
          </w:p>
          <w:p w:rsidR="00984008" w:rsidRDefault="00326E62" w:rsidP="004D66FB">
            <w:pPr>
              <w:pStyle w:val="Header"/>
              <w:tabs>
                <w:tab w:val="clear" w:pos="4320"/>
                <w:tab w:val="clear" w:pos="8640"/>
              </w:tabs>
              <w:jc w:val="both"/>
            </w:pPr>
            <w:r>
              <w:t>C.S.H.B. 1693</w:t>
            </w:r>
            <w:r>
              <w:t xml:space="preserve"> prohibits </w:t>
            </w:r>
            <w:r>
              <w:t xml:space="preserve">the use of </w:t>
            </w:r>
            <w:r>
              <w:t>such a counteraffidavit to controvert the causation element of the cause of action that is the basis for the civil action. The bill requires</w:t>
            </w:r>
            <w:r>
              <w:t xml:space="preserve"> </w:t>
            </w:r>
            <w:r>
              <w:t xml:space="preserve">the party </w:t>
            </w:r>
            <w:r>
              <w:t xml:space="preserve">offering the counteraffidavit in evidence </w:t>
            </w:r>
            <w:r>
              <w:t xml:space="preserve">or </w:t>
            </w:r>
            <w:r>
              <w:t xml:space="preserve">that </w:t>
            </w:r>
            <w:r>
              <w:t>party's attorney</w:t>
            </w:r>
            <w:r>
              <w:t xml:space="preserve">, </w:t>
            </w:r>
            <w:r>
              <w:t xml:space="preserve">when </w:t>
            </w:r>
            <w:r>
              <w:t>serving the counteraffidavit,</w:t>
            </w:r>
            <w:r>
              <w:t xml:space="preserve"> to file written notice </w:t>
            </w:r>
            <w:r>
              <w:t>of that servi</w:t>
            </w:r>
            <w:r>
              <w:t>ce</w:t>
            </w:r>
            <w:r>
              <w:t xml:space="preserve"> </w:t>
            </w:r>
            <w:r>
              <w:t xml:space="preserve">with the </w:t>
            </w:r>
            <w:r>
              <w:t xml:space="preserve">court </w:t>
            </w:r>
            <w:r>
              <w:t xml:space="preserve">clerk. </w:t>
            </w:r>
          </w:p>
          <w:p w:rsidR="005779D7" w:rsidRDefault="00326E62" w:rsidP="004D66FB">
            <w:pPr>
              <w:pStyle w:val="Header"/>
              <w:tabs>
                <w:tab w:val="clear" w:pos="4320"/>
                <w:tab w:val="clear" w:pos="8640"/>
              </w:tabs>
              <w:jc w:val="both"/>
            </w:pPr>
          </w:p>
          <w:p w:rsidR="005779D7" w:rsidRDefault="00326E62" w:rsidP="004D66FB">
            <w:pPr>
              <w:pStyle w:val="Header"/>
              <w:jc w:val="both"/>
            </w:pPr>
            <w:r>
              <w:t xml:space="preserve">C.S.H.B. 1693 </w:t>
            </w:r>
            <w:r>
              <w:t>provides for a</w:t>
            </w:r>
            <w:r>
              <w:t xml:space="preserve"> party</w:t>
            </w:r>
            <w:r>
              <w:t>'s authority</w:t>
            </w:r>
            <w:r>
              <w:t xml:space="preserve"> to supplement an affidavit </w:t>
            </w:r>
            <w:r>
              <w:t>or</w:t>
            </w:r>
            <w:r>
              <w:t xml:space="preserve"> counteraffida</w:t>
            </w:r>
            <w:r>
              <w:t xml:space="preserve">vit </w:t>
            </w:r>
            <w:r>
              <w:t>served by the party</w:t>
            </w:r>
            <w:r>
              <w:t xml:space="preserve"> if continuing services are provided after a relevant deadline</w:t>
            </w:r>
            <w:r>
              <w:t xml:space="preserve"> established by the bill </w:t>
            </w:r>
            <w:r>
              <w:t>and</w:t>
            </w:r>
            <w:r>
              <w:t xml:space="preserve"> </w:t>
            </w:r>
            <w:r>
              <w:t>authorizes the alteration of</w:t>
            </w:r>
            <w:r>
              <w:t xml:space="preserve"> a</w:t>
            </w:r>
            <w:r>
              <w:t>n established</w:t>
            </w:r>
            <w:r>
              <w:t xml:space="preserve"> deadline </w:t>
            </w:r>
            <w:r>
              <w:t xml:space="preserve">by all parties to an action by agreement or with leave of the court.            </w:t>
            </w:r>
          </w:p>
          <w:p w:rsidR="008423E4" w:rsidRPr="00835628" w:rsidRDefault="00326E62" w:rsidP="004D66FB">
            <w:pPr>
              <w:rPr>
                <w:b/>
              </w:rPr>
            </w:pPr>
          </w:p>
        </w:tc>
      </w:tr>
      <w:tr w:rsidR="00983C2A" w:rsidTr="00345119">
        <w:tc>
          <w:tcPr>
            <w:tcW w:w="9576" w:type="dxa"/>
          </w:tcPr>
          <w:p w:rsidR="008423E4" w:rsidRPr="00A8133F" w:rsidRDefault="00326E62" w:rsidP="004D66FB">
            <w:pPr>
              <w:rPr>
                <w:b/>
              </w:rPr>
            </w:pPr>
            <w:r w:rsidRPr="009C1E9A">
              <w:rPr>
                <w:b/>
                <w:u w:val="single"/>
              </w:rPr>
              <w:t>EFFECTIVE DATE</w:t>
            </w:r>
            <w:r>
              <w:rPr>
                <w:b/>
              </w:rPr>
              <w:t xml:space="preserve"> </w:t>
            </w:r>
          </w:p>
          <w:p w:rsidR="008423E4" w:rsidRDefault="00326E62" w:rsidP="004D66FB"/>
          <w:p w:rsidR="008423E4" w:rsidRPr="003624F2" w:rsidRDefault="00326E62" w:rsidP="004D66FB">
            <w:pPr>
              <w:pStyle w:val="Header"/>
              <w:tabs>
                <w:tab w:val="clear" w:pos="4320"/>
                <w:tab w:val="clear" w:pos="8640"/>
              </w:tabs>
              <w:jc w:val="both"/>
            </w:pPr>
            <w:r>
              <w:t>September 1, 2019.</w:t>
            </w:r>
          </w:p>
          <w:p w:rsidR="008423E4" w:rsidRPr="00233FDB" w:rsidRDefault="00326E62" w:rsidP="004D66FB">
            <w:pPr>
              <w:rPr>
                <w:b/>
              </w:rPr>
            </w:pPr>
          </w:p>
        </w:tc>
      </w:tr>
      <w:tr w:rsidR="00983C2A" w:rsidTr="00345119">
        <w:tc>
          <w:tcPr>
            <w:tcW w:w="9576" w:type="dxa"/>
          </w:tcPr>
          <w:p w:rsidR="00FE46D4" w:rsidRDefault="00326E62" w:rsidP="004D66FB">
            <w:pPr>
              <w:jc w:val="both"/>
              <w:rPr>
                <w:b/>
                <w:u w:val="single"/>
              </w:rPr>
            </w:pPr>
            <w:r>
              <w:rPr>
                <w:b/>
                <w:u w:val="single"/>
              </w:rPr>
              <w:t>COMPARISON OF ORIGINAL AND SUBSTITUTE</w:t>
            </w:r>
          </w:p>
          <w:p w:rsidR="00B12D32" w:rsidRDefault="00326E62" w:rsidP="004D66FB">
            <w:pPr>
              <w:jc w:val="both"/>
            </w:pPr>
          </w:p>
          <w:p w:rsidR="00B12D32" w:rsidRDefault="00326E62" w:rsidP="004D66FB">
            <w:pPr>
              <w:jc w:val="both"/>
            </w:pPr>
            <w:r>
              <w:t>While C.S.H.B. 1693 may differ from the original in minor or nonsubstantive ways, the following summarizes the substantial differences between the introduced and committee substit</w:t>
            </w:r>
            <w:r>
              <w:t>ute versions of the bill.</w:t>
            </w:r>
          </w:p>
          <w:p w:rsidR="00B12D32" w:rsidRDefault="00326E62" w:rsidP="004D66FB">
            <w:pPr>
              <w:jc w:val="both"/>
            </w:pPr>
          </w:p>
          <w:p w:rsidR="00B12D32" w:rsidRDefault="00326E62" w:rsidP="004D66FB">
            <w:pPr>
              <w:jc w:val="both"/>
            </w:pPr>
            <w:r>
              <w:t xml:space="preserve">The substitute </w:t>
            </w:r>
            <w:r>
              <w:t xml:space="preserve">does not include a </w:t>
            </w:r>
            <w:r>
              <w:t xml:space="preserve">certain specification </w:t>
            </w:r>
            <w:r>
              <w:t>regarding who may validly make</w:t>
            </w:r>
            <w:r>
              <w:t xml:space="preserve"> the affidavit.</w:t>
            </w:r>
          </w:p>
          <w:p w:rsidR="002117F7" w:rsidRDefault="00326E62" w:rsidP="004D66FB">
            <w:pPr>
              <w:jc w:val="both"/>
            </w:pPr>
          </w:p>
          <w:p w:rsidR="002117F7" w:rsidRDefault="00326E62" w:rsidP="004D66FB">
            <w:pPr>
              <w:jc w:val="both"/>
            </w:pPr>
            <w:r>
              <w:t xml:space="preserve">The substitute </w:t>
            </w:r>
            <w:r>
              <w:t xml:space="preserve">revises </w:t>
            </w:r>
            <w:r>
              <w:t>the deadline</w:t>
            </w:r>
            <w:r>
              <w:t xml:space="preserve">s provided by the </w:t>
            </w:r>
            <w:r>
              <w:t>original</w:t>
            </w:r>
            <w:r>
              <w:t xml:space="preserve"> for the service of affidavits and counteraffidavits</w:t>
            </w:r>
            <w:r>
              <w:t xml:space="preserve"> and for supplementing an affidavit </w:t>
            </w:r>
            <w:r>
              <w:t xml:space="preserve">or counteraffidavit </w:t>
            </w:r>
            <w:r>
              <w:t>if continuing services are provided after a relevant deadline. The substitute</w:t>
            </w:r>
            <w:r>
              <w:t xml:space="preserve"> revises provisions regarding the time </w:t>
            </w:r>
            <w:r>
              <w:t>at which</w:t>
            </w:r>
            <w:r>
              <w:t xml:space="preserve"> notice of service mus</w:t>
            </w:r>
            <w:r>
              <w:t>t be filed with the court clerk.</w:t>
            </w:r>
            <w:r>
              <w:t xml:space="preserve"> </w:t>
            </w:r>
          </w:p>
          <w:p w:rsidR="008B1D0A" w:rsidRDefault="00326E62" w:rsidP="004D66FB">
            <w:pPr>
              <w:jc w:val="both"/>
            </w:pPr>
          </w:p>
          <w:p w:rsidR="006B0BB5" w:rsidRDefault="00326E62" w:rsidP="004D66FB">
            <w:pPr>
              <w:jc w:val="both"/>
            </w:pPr>
            <w:r>
              <w:t>The substitute incl</w:t>
            </w:r>
            <w:r>
              <w:t xml:space="preserve">udes </w:t>
            </w:r>
            <w:r>
              <w:t xml:space="preserve">provisions </w:t>
            </w:r>
            <w:r>
              <w:t>establishing</w:t>
            </w:r>
            <w:r>
              <w:t xml:space="preserve"> deadlines for service of an affidavit or counteraffidavit if services are first provided later than 90 days after the defendant files an answer.</w:t>
            </w:r>
            <w:r>
              <w:t xml:space="preserve"> </w:t>
            </w:r>
          </w:p>
          <w:p w:rsidR="00B12D32" w:rsidRPr="00B12D32" w:rsidRDefault="00326E62" w:rsidP="004D66FB">
            <w:pPr>
              <w:jc w:val="both"/>
            </w:pPr>
          </w:p>
        </w:tc>
      </w:tr>
      <w:tr w:rsidR="00983C2A" w:rsidTr="00345119">
        <w:tc>
          <w:tcPr>
            <w:tcW w:w="9576" w:type="dxa"/>
          </w:tcPr>
          <w:p w:rsidR="00FE46D4" w:rsidRPr="009C1E9A" w:rsidRDefault="00326E62" w:rsidP="004D66FB">
            <w:pPr>
              <w:rPr>
                <w:b/>
                <w:u w:val="single"/>
              </w:rPr>
            </w:pPr>
          </w:p>
        </w:tc>
      </w:tr>
      <w:tr w:rsidR="00983C2A" w:rsidTr="00345119">
        <w:tc>
          <w:tcPr>
            <w:tcW w:w="9576" w:type="dxa"/>
          </w:tcPr>
          <w:p w:rsidR="00FE46D4" w:rsidRPr="00FE46D4" w:rsidRDefault="00326E62" w:rsidP="004D66FB">
            <w:pPr>
              <w:jc w:val="both"/>
            </w:pPr>
          </w:p>
        </w:tc>
      </w:tr>
    </w:tbl>
    <w:p w:rsidR="008423E4" w:rsidRPr="00BE0E75" w:rsidRDefault="00326E62" w:rsidP="008423E4">
      <w:pPr>
        <w:spacing w:line="480" w:lineRule="auto"/>
        <w:jc w:val="both"/>
        <w:rPr>
          <w:rFonts w:ascii="Arial" w:hAnsi="Arial"/>
          <w:sz w:val="16"/>
          <w:szCs w:val="16"/>
        </w:rPr>
      </w:pPr>
    </w:p>
    <w:p w:rsidR="004108C3" w:rsidRPr="008423E4" w:rsidRDefault="00326E6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26E62">
      <w:r>
        <w:separator/>
      </w:r>
    </w:p>
  </w:endnote>
  <w:endnote w:type="continuationSeparator" w:id="0">
    <w:p w:rsidR="00000000" w:rsidRDefault="0032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4F0" w:rsidRDefault="00326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83C2A" w:rsidTr="009C1E9A">
      <w:trPr>
        <w:cantSplit/>
      </w:trPr>
      <w:tc>
        <w:tcPr>
          <w:tcW w:w="0" w:type="pct"/>
        </w:tcPr>
        <w:p w:rsidR="00137D90" w:rsidRDefault="00326E62" w:rsidP="009C1E9A">
          <w:pPr>
            <w:pStyle w:val="Footer"/>
            <w:tabs>
              <w:tab w:val="clear" w:pos="8640"/>
              <w:tab w:val="right" w:pos="9360"/>
            </w:tabs>
          </w:pPr>
        </w:p>
      </w:tc>
      <w:tc>
        <w:tcPr>
          <w:tcW w:w="2395" w:type="pct"/>
        </w:tcPr>
        <w:p w:rsidR="00137D90" w:rsidRPr="004D66FB" w:rsidRDefault="00326E62" w:rsidP="009C1E9A">
          <w:pPr>
            <w:pStyle w:val="Footer"/>
            <w:tabs>
              <w:tab w:val="clear" w:pos="8640"/>
              <w:tab w:val="right" w:pos="9360"/>
            </w:tabs>
            <w:rPr>
              <w:sz w:val="12"/>
            </w:rPr>
          </w:pPr>
        </w:p>
        <w:p w:rsidR="001A4310" w:rsidRPr="004D66FB" w:rsidRDefault="00326E62" w:rsidP="009C1E9A">
          <w:pPr>
            <w:pStyle w:val="Footer"/>
            <w:tabs>
              <w:tab w:val="clear" w:pos="8640"/>
              <w:tab w:val="right" w:pos="9360"/>
            </w:tabs>
            <w:rPr>
              <w:sz w:val="2"/>
            </w:rPr>
          </w:pPr>
        </w:p>
        <w:p w:rsidR="00137D90" w:rsidRDefault="00326E62" w:rsidP="009C1E9A">
          <w:pPr>
            <w:pStyle w:val="Footer"/>
            <w:tabs>
              <w:tab w:val="clear" w:pos="8640"/>
              <w:tab w:val="right" w:pos="9360"/>
            </w:tabs>
          </w:pPr>
        </w:p>
      </w:tc>
      <w:tc>
        <w:tcPr>
          <w:tcW w:w="2453" w:type="pct"/>
        </w:tcPr>
        <w:p w:rsidR="00137D90" w:rsidRDefault="00326E62" w:rsidP="009C1E9A">
          <w:pPr>
            <w:pStyle w:val="Footer"/>
            <w:tabs>
              <w:tab w:val="clear" w:pos="8640"/>
              <w:tab w:val="right" w:pos="9360"/>
            </w:tabs>
            <w:jc w:val="right"/>
          </w:pPr>
        </w:p>
      </w:tc>
    </w:tr>
    <w:tr w:rsidR="00983C2A" w:rsidTr="009C1E9A">
      <w:trPr>
        <w:cantSplit/>
      </w:trPr>
      <w:tc>
        <w:tcPr>
          <w:tcW w:w="0" w:type="pct"/>
        </w:tcPr>
        <w:p w:rsidR="00EC379B" w:rsidRDefault="00326E62" w:rsidP="009C1E9A">
          <w:pPr>
            <w:pStyle w:val="Footer"/>
            <w:tabs>
              <w:tab w:val="clear" w:pos="8640"/>
              <w:tab w:val="right" w:pos="9360"/>
            </w:tabs>
          </w:pPr>
        </w:p>
      </w:tc>
      <w:tc>
        <w:tcPr>
          <w:tcW w:w="2395" w:type="pct"/>
        </w:tcPr>
        <w:p w:rsidR="00EC379B" w:rsidRPr="009C1E9A" w:rsidRDefault="00326E62" w:rsidP="009C1E9A">
          <w:pPr>
            <w:pStyle w:val="Footer"/>
            <w:tabs>
              <w:tab w:val="clear" w:pos="8640"/>
              <w:tab w:val="right" w:pos="9360"/>
            </w:tabs>
            <w:rPr>
              <w:rFonts w:ascii="Shruti" w:hAnsi="Shruti"/>
              <w:sz w:val="22"/>
            </w:rPr>
          </w:pPr>
          <w:r>
            <w:rPr>
              <w:rFonts w:ascii="Shruti" w:hAnsi="Shruti"/>
              <w:sz w:val="22"/>
            </w:rPr>
            <w:t>86R 24369</w:t>
          </w:r>
        </w:p>
      </w:tc>
      <w:tc>
        <w:tcPr>
          <w:tcW w:w="2453" w:type="pct"/>
        </w:tcPr>
        <w:p w:rsidR="00EC379B" w:rsidRDefault="00326E62" w:rsidP="009C1E9A">
          <w:pPr>
            <w:pStyle w:val="Footer"/>
            <w:tabs>
              <w:tab w:val="clear" w:pos="8640"/>
              <w:tab w:val="right" w:pos="9360"/>
            </w:tabs>
            <w:jc w:val="right"/>
          </w:pPr>
          <w:r>
            <w:fldChar w:fldCharType="begin"/>
          </w:r>
          <w:r>
            <w:instrText xml:space="preserve"> DOCPROPERTY  OTID  \* MERGEFORMAT </w:instrText>
          </w:r>
          <w:r>
            <w:fldChar w:fldCharType="separate"/>
          </w:r>
          <w:r>
            <w:t>19.94.319</w:t>
          </w:r>
          <w:r>
            <w:fldChar w:fldCharType="end"/>
          </w:r>
        </w:p>
      </w:tc>
    </w:tr>
    <w:tr w:rsidR="00983C2A" w:rsidTr="009C1E9A">
      <w:trPr>
        <w:cantSplit/>
      </w:trPr>
      <w:tc>
        <w:tcPr>
          <w:tcW w:w="0" w:type="pct"/>
        </w:tcPr>
        <w:p w:rsidR="00EC379B" w:rsidRDefault="00326E62" w:rsidP="009C1E9A">
          <w:pPr>
            <w:pStyle w:val="Footer"/>
            <w:tabs>
              <w:tab w:val="clear" w:pos="4320"/>
              <w:tab w:val="clear" w:pos="8640"/>
              <w:tab w:val="left" w:pos="2865"/>
            </w:tabs>
          </w:pPr>
        </w:p>
      </w:tc>
      <w:tc>
        <w:tcPr>
          <w:tcW w:w="2395" w:type="pct"/>
        </w:tcPr>
        <w:p w:rsidR="00EC379B" w:rsidRPr="009C1E9A" w:rsidRDefault="00326E62" w:rsidP="009C1E9A">
          <w:pPr>
            <w:pStyle w:val="Footer"/>
            <w:tabs>
              <w:tab w:val="clear" w:pos="4320"/>
              <w:tab w:val="clear" w:pos="8640"/>
              <w:tab w:val="left" w:pos="2865"/>
            </w:tabs>
            <w:rPr>
              <w:rFonts w:ascii="Shruti" w:hAnsi="Shruti"/>
              <w:sz w:val="22"/>
            </w:rPr>
          </w:pPr>
          <w:r>
            <w:rPr>
              <w:rFonts w:ascii="Shruti" w:hAnsi="Shruti"/>
              <w:sz w:val="22"/>
            </w:rPr>
            <w:t>Substitute Document Number: 86R 23020</w:t>
          </w:r>
        </w:p>
      </w:tc>
      <w:tc>
        <w:tcPr>
          <w:tcW w:w="2453" w:type="pct"/>
        </w:tcPr>
        <w:p w:rsidR="00EC379B" w:rsidRDefault="00326E62" w:rsidP="006D504F">
          <w:pPr>
            <w:pStyle w:val="Footer"/>
            <w:rPr>
              <w:rStyle w:val="PageNumber"/>
            </w:rPr>
          </w:pPr>
        </w:p>
        <w:p w:rsidR="00EC379B" w:rsidRDefault="00326E62" w:rsidP="009C1E9A">
          <w:pPr>
            <w:pStyle w:val="Footer"/>
            <w:tabs>
              <w:tab w:val="clear" w:pos="8640"/>
              <w:tab w:val="right" w:pos="9360"/>
            </w:tabs>
            <w:jc w:val="right"/>
          </w:pPr>
        </w:p>
      </w:tc>
    </w:tr>
    <w:tr w:rsidR="00983C2A" w:rsidTr="009C1E9A">
      <w:trPr>
        <w:cantSplit/>
        <w:trHeight w:val="323"/>
      </w:trPr>
      <w:tc>
        <w:tcPr>
          <w:tcW w:w="0" w:type="pct"/>
          <w:gridSpan w:val="3"/>
        </w:tcPr>
        <w:p w:rsidR="00EC379B" w:rsidRDefault="00326E6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326E62" w:rsidP="009C1E9A">
          <w:pPr>
            <w:pStyle w:val="Footer"/>
            <w:tabs>
              <w:tab w:val="clear" w:pos="8640"/>
              <w:tab w:val="right" w:pos="9360"/>
            </w:tabs>
            <w:jc w:val="center"/>
          </w:pPr>
        </w:p>
      </w:tc>
    </w:tr>
  </w:tbl>
  <w:p w:rsidR="00EC379B" w:rsidRPr="00FF6F72" w:rsidRDefault="00326E6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4F0" w:rsidRDefault="00326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26E62">
      <w:r>
        <w:separator/>
      </w:r>
    </w:p>
  </w:footnote>
  <w:footnote w:type="continuationSeparator" w:id="0">
    <w:p w:rsidR="00000000" w:rsidRDefault="0032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4F0" w:rsidRDefault="00326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4F0" w:rsidRDefault="00326E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4F0" w:rsidRDefault="00326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F73DC"/>
    <w:multiLevelType w:val="hybridMultilevel"/>
    <w:tmpl w:val="FDFC4040"/>
    <w:lvl w:ilvl="0" w:tplc="45F8CA88">
      <w:start w:val="1"/>
      <w:numFmt w:val="bullet"/>
      <w:lvlText w:val=""/>
      <w:lvlJc w:val="left"/>
      <w:pPr>
        <w:tabs>
          <w:tab w:val="num" w:pos="720"/>
        </w:tabs>
        <w:ind w:left="720" w:hanging="360"/>
      </w:pPr>
      <w:rPr>
        <w:rFonts w:ascii="Symbol" w:hAnsi="Symbol" w:hint="default"/>
      </w:rPr>
    </w:lvl>
    <w:lvl w:ilvl="1" w:tplc="56045C36" w:tentative="1">
      <w:start w:val="1"/>
      <w:numFmt w:val="bullet"/>
      <w:lvlText w:val="o"/>
      <w:lvlJc w:val="left"/>
      <w:pPr>
        <w:ind w:left="1440" w:hanging="360"/>
      </w:pPr>
      <w:rPr>
        <w:rFonts w:ascii="Courier New" w:hAnsi="Courier New" w:cs="Courier New" w:hint="default"/>
      </w:rPr>
    </w:lvl>
    <w:lvl w:ilvl="2" w:tplc="1662F39C" w:tentative="1">
      <w:start w:val="1"/>
      <w:numFmt w:val="bullet"/>
      <w:lvlText w:val=""/>
      <w:lvlJc w:val="left"/>
      <w:pPr>
        <w:ind w:left="2160" w:hanging="360"/>
      </w:pPr>
      <w:rPr>
        <w:rFonts w:ascii="Wingdings" w:hAnsi="Wingdings" w:hint="default"/>
      </w:rPr>
    </w:lvl>
    <w:lvl w:ilvl="3" w:tplc="6BA89244" w:tentative="1">
      <w:start w:val="1"/>
      <w:numFmt w:val="bullet"/>
      <w:lvlText w:val=""/>
      <w:lvlJc w:val="left"/>
      <w:pPr>
        <w:ind w:left="2880" w:hanging="360"/>
      </w:pPr>
      <w:rPr>
        <w:rFonts w:ascii="Symbol" w:hAnsi="Symbol" w:hint="default"/>
      </w:rPr>
    </w:lvl>
    <w:lvl w:ilvl="4" w:tplc="DAFED3AC" w:tentative="1">
      <w:start w:val="1"/>
      <w:numFmt w:val="bullet"/>
      <w:lvlText w:val="o"/>
      <w:lvlJc w:val="left"/>
      <w:pPr>
        <w:ind w:left="3600" w:hanging="360"/>
      </w:pPr>
      <w:rPr>
        <w:rFonts w:ascii="Courier New" w:hAnsi="Courier New" w:cs="Courier New" w:hint="default"/>
      </w:rPr>
    </w:lvl>
    <w:lvl w:ilvl="5" w:tplc="ECE6C836" w:tentative="1">
      <w:start w:val="1"/>
      <w:numFmt w:val="bullet"/>
      <w:lvlText w:val=""/>
      <w:lvlJc w:val="left"/>
      <w:pPr>
        <w:ind w:left="4320" w:hanging="360"/>
      </w:pPr>
      <w:rPr>
        <w:rFonts w:ascii="Wingdings" w:hAnsi="Wingdings" w:hint="default"/>
      </w:rPr>
    </w:lvl>
    <w:lvl w:ilvl="6" w:tplc="6876E18A" w:tentative="1">
      <w:start w:val="1"/>
      <w:numFmt w:val="bullet"/>
      <w:lvlText w:val=""/>
      <w:lvlJc w:val="left"/>
      <w:pPr>
        <w:ind w:left="5040" w:hanging="360"/>
      </w:pPr>
      <w:rPr>
        <w:rFonts w:ascii="Symbol" w:hAnsi="Symbol" w:hint="default"/>
      </w:rPr>
    </w:lvl>
    <w:lvl w:ilvl="7" w:tplc="00226BA6" w:tentative="1">
      <w:start w:val="1"/>
      <w:numFmt w:val="bullet"/>
      <w:lvlText w:val="o"/>
      <w:lvlJc w:val="left"/>
      <w:pPr>
        <w:ind w:left="5760" w:hanging="360"/>
      </w:pPr>
      <w:rPr>
        <w:rFonts w:ascii="Courier New" w:hAnsi="Courier New" w:cs="Courier New" w:hint="default"/>
      </w:rPr>
    </w:lvl>
    <w:lvl w:ilvl="8" w:tplc="1EEEE408" w:tentative="1">
      <w:start w:val="1"/>
      <w:numFmt w:val="bullet"/>
      <w:lvlText w:val=""/>
      <w:lvlJc w:val="left"/>
      <w:pPr>
        <w:ind w:left="6480" w:hanging="360"/>
      </w:pPr>
      <w:rPr>
        <w:rFonts w:ascii="Wingdings" w:hAnsi="Wingdings" w:hint="default"/>
      </w:rPr>
    </w:lvl>
  </w:abstractNum>
  <w:abstractNum w:abstractNumId="1" w15:restartNumberingAfterBreak="0">
    <w:nsid w:val="5D154372"/>
    <w:multiLevelType w:val="hybridMultilevel"/>
    <w:tmpl w:val="51C67C52"/>
    <w:lvl w:ilvl="0" w:tplc="455E9162">
      <w:start w:val="1"/>
      <w:numFmt w:val="bullet"/>
      <w:lvlText w:val=""/>
      <w:lvlJc w:val="left"/>
      <w:pPr>
        <w:tabs>
          <w:tab w:val="num" w:pos="720"/>
        </w:tabs>
        <w:ind w:left="720" w:hanging="360"/>
      </w:pPr>
      <w:rPr>
        <w:rFonts w:ascii="Symbol" w:hAnsi="Symbol" w:hint="default"/>
      </w:rPr>
    </w:lvl>
    <w:lvl w:ilvl="1" w:tplc="041E6222" w:tentative="1">
      <w:start w:val="1"/>
      <w:numFmt w:val="bullet"/>
      <w:lvlText w:val="o"/>
      <w:lvlJc w:val="left"/>
      <w:pPr>
        <w:ind w:left="1440" w:hanging="360"/>
      </w:pPr>
      <w:rPr>
        <w:rFonts w:ascii="Courier New" w:hAnsi="Courier New" w:cs="Courier New" w:hint="default"/>
      </w:rPr>
    </w:lvl>
    <w:lvl w:ilvl="2" w:tplc="2FB0E6EA" w:tentative="1">
      <w:start w:val="1"/>
      <w:numFmt w:val="bullet"/>
      <w:lvlText w:val=""/>
      <w:lvlJc w:val="left"/>
      <w:pPr>
        <w:ind w:left="2160" w:hanging="360"/>
      </w:pPr>
      <w:rPr>
        <w:rFonts w:ascii="Wingdings" w:hAnsi="Wingdings" w:hint="default"/>
      </w:rPr>
    </w:lvl>
    <w:lvl w:ilvl="3" w:tplc="39A4BF60" w:tentative="1">
      <w:start w:val="1"/>
      <w:numFmt w:val="bullet"/>
      <w:lvlText w:val=""/>
      <w:lvlJc w:val="left"/>
      <w:pPr>
        <w:ind w:left="2880" w:hanging="360"/>
      </w:pPr>
      <w:rPr>
        <w:rFonts w:ascii="Symbol" w:hAnsi="Symbol" w:hint="default"/>
      </w:rPr>
    </w:lvl>
    <w:lvl w:ilvl="4" w:tplc="72E2C8AC" w:tentative="1">
      <w:start w:val="1"/>
      <w:numFmt w:val="bullet"/>
      <w:lvlText w:val="o"/>
      <w:lvlJc w:val="left"/>
      <w:pPr>
        <w:ind w:left="3600" w:hanging="360"/>
      </w:pPr>
      <w:rPr>
        <w:rFonts w:ascii="Courier New" w:hAnsi="Courier New" w:cs="Courier New" w:hint="default"/>
      </w:rPr>
    </w:lvl>
    <w:lvl w:ilvl="5" w:tplc="EAB012AA" w:tentative="1">
      <w:start w:val="1"/>
      <w:numFmt w:val="bullet"/>
      <w:lvlText w:val=""/>
      <w:lvlJc w:val="left"/>
      <w:pPr>
        <w:ind w:left="4320" w:hanging="360"/>
      </w:pPr>
      <w:rPr>
        <w:rFonts w:ascii="Wingdings" w:hAnsi="Wingdings" w:hint="default"/>
      </w:rPr>
    </w:lvl>
    <w:lvl w:ilvl="6" w:tplc="7CDA5770" w:tentative="1">
      <w:start w:val="1"/>
      <w:numFmt w:val="bullet"/>
      <w:lvlText w:val=""/>
      <w:lvlJc w:val="left"/>
      <w:pPr>
        <w:ind w:left="5040" w:hanging="360"/>
      </w:pPr>
      <w:rPr>
        <w:rFonts w:ascii="Symbol" w:hAnsi="Symbol" w:hint="default"/>
      </w:rPr>
    </w:lvl>
    <w:lvl w:ilvl="7" w:tplc="D854B482" w:tentative="1">
      <w:start w:val="1"/>
      <w:numFmt w:val="bullet"/>
      <w:lvlText w:val="o"/>
      <w:lvlJc w:val="left"/>
      <w:pPr>
        <w:ind w:left="5760" w:hanging="360"/>
      </w:pPr>
      <w:rPr>
        <w:rFonts w:ascii="Courier New" w:hAnsi="Courier New" w:cs="Courier New" w:hint="default"/>
      </w:rPr>
    </w:lvl>
    <w:lvl w:ilvl="8" w:tplc="757808A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2A"/>
    <w:rsid w:val="00326E62"/>
    <w:rsid w:val="0098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F08765-2D7E-46C6-9560-CBB3911C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A6457"/>
    <w:rPr>
      <w:sz w:val="16"/>
      <w:szCs w:val="16"/>
    </w:rPr>
  </w:style>
  <w:style w:type="paragraph" w:styleId="CommentText">
    <w:name w:val="annotation text"/>
    <w:basedOn w:val="Normal"/>
    <w:link w:val="CommentTextChar"/>
    <w:semiHidden/>
    <w:unhideWhenUsed/>
    <w:rsid w:val="00AA6457"/>
    <w:rPr>
      <w:sz w:val="20"/>
      <w:szCs w:val="20"/>
    </w:rPr>
  </w:style>
  <w:style w:type="character" w:customStyle="1" w:styleId="CommentTextChar">
    <w:name w:val="Comment Text Char"/>
    <w:basedOn w:val="DefaultParagraphFont"/>
    <w:link w:val="CommentText"/>
    <w:semiHidden/>
    <w:rsid w:val="00AA6457"/>
  </w:style>
  <w:style w:type="paragraph" w:styleId="CommentSubject">
    <w:name w:val="annotation subject"/>
    <w:basedOn w:val="CommentText"/>
    <w:next w:val="CommentText"/>
    <w:link w:val="CommentSubjectChar"/>
    <w:semiHidden/>
    <w:unhideWhenUsed/>
    <w:rsid w:val="00AA6457"/>
    <w:rPr>
      <w:b/>
      <w:bCs/>
    </w:rPr>
  </w:style>
  <w:style w:type="character" w:customStyle="1" w:styleId="CommentSubjectChar">
    <w:name w:val="Comment Subject Char"/>
    <w:basedOn w:val="CommentTextChar"/>
    <w:link w:val="CommentSubject"/>
    <w:semiHidden/>
    <w:rsid w:val="00AA6457"/>
    <w:rPr>
      <w:b/>
      <w:bCs/>
    </w:rPr>
  </w:style>
  <w:style w:type="paragraph" w:styleId="Revision">
    <w:name w:val="Revision"/>
    <w:hidden/>
    <w:uiPriority w:val="99"/>
    <w:semiHidden/>
    <w:rsid w:val="00AA64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823</Words>
  <Characters>4267</Characters>
  <Application>Microsoft Office Word</Application>
  <DocSecurity>4</DocSecurity>
  <Lines>98</Lines>
  <Paragraphs>31</Paragraphs>
  <ScaleCrop>false</ScaleCrop>
  <HeadingPairs>
    <vt:vector size="2" baseType="variant">
      <vt:variant>
        <vt:lpstr>Title</vt:lpstr>
      </vt:variant>
      <vt:variant>
        <vt:i4>1</vt:i4>
      </vt:variant>
    </vt:vector>
  </HeadingPairs>
  <TitlesOfParts>
    <vt:vector size="1" baseType="lpstr">
      <vt:lpstr>BA - HB01693 (Committee Report (Substituted))</vt:lpstr>
    </vt:vector>
  </TitlesOfParts>
  <Company>State of Texas</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24369</dc:subject>
  <dc:creator>State of Texas</dc:creator>
  <dc:description>HB 1693 by Smithee-(H)Judiciary &amp; Civil Jurisprudence (Substitute Document Number: 86R 23020)</dc:description>
  <cp:lastModifiedBy>Scotty Wimberley</cp:lastModifiedBy>
  <cp:revision>2</cp:revision>
  <cp:lastPrinted>2003-11-26T17:21:00Z</cp:lastPrinted>
  <dcterms:created xsi:type="dcterms:W3CDTF">2019-04-17T01:31:00Z</dcterms:created>
  <dcterms:modified xsi:type="dcterms:W3CDTF">2019-04-17T01:31:00Z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19.94.319</vt:lpwstr>
  </property>
</Properties>
</file>