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18D2" w:rsidTr="00345119">
        <w:tc>
          <w:tcPr>
            <w:tcW w:w="9576" w:type="dxa"/>
            <w:noWrap/>
          </w:tcPr>
          <w:p w:rsidR="008423E4" w:rsidRPr="0022177D" w:rsidRDefault="005121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2145" w:rsidP="008423E4">
      <w:pPr>
        <w:jc w:val="center"/>
      </w:pPr>
    </w:p>
    <w:p w:rsidR="008423E4" w:rsidRPr="00B31F0E" w:rsidRDefault="00512145" w:rsidP="008423E4"/>
    <w:p w:rsidR="008423E4" w:rsidRPr="00742794" w:rsidRDefault="005121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18D2" w:rsidTr="00345119">
        <w:tc>
          <w:tcPr>
            <w:tcW w:w="9576" w:type="dxa"/>
          </w:tcPr>
          <w:p w:rsidR="008423E4" w:rsidRPr="00861995" w:rsidRDefault="00512145" w:rsidP="00345119">
            <w:pPr>
              <w:jc w:val="right"/>
            </w:pPr>
            <w:r>
              <w:t>C.S.H.B. 1725</w:t>
            </w:r>
          </w:p>
        </w:tc>
      </w:tr>
      <w:tr w:rsidR="00B518D2" w:rsidTr="00345119">
        <w:tc>
          <w:tcPr>
            <w:tcW w:w="9576" w:type="dxa"/>
          </w:tcPr>
          <w:p w:rsidR="008423E4" w:rsidRPr="00861995" w:rsidRDefault="00512145" w:rsidP="00C0421B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B518D2" w:rsidTr="00345119">
        <w:tc>
          <w:tcPr>
            <w:tcW w:w="9576" w:type="dxa"/>
          </w:tcPr>
          <w:p w:rsidR="008423E4" w:rsidRPr="00861995" w:rsidRDefault="00512145" w:rsidP="00345119">
            <w:pPr>
              <w:jc w:val="right"/>
            </w:pPr>
            <w:r>
              <w:t>Defense &amp; Veterans' Affairs</w:t>
            </w:r>
          </w:p>
        </w:tc>
      </w:tr>
      <w:tr w:rsidR="00B518D2" w:rsidTr="00345119">
        <w:tc>
          <w:tcPr>
            <w:tcW w:w="9576" w:type="dxa"/>
          </w:tcPr>
          <w:p w:rsidR="008423E4" w:rsidRDefault="005121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2145" w:rsidP="008423E4">
      <w:pPr>
        <w:tabs>
          <w:tab w:val="right" w:pos="9360"/>
        </w:tabs>
      </w:pPr>
    </w:p>
    <w:p w:rsidR="008423E4" w:rsidRDefault="00512145" w:rsidP="008423E4"/>
    <w:p w:rsidR="008423E4" w:rsidRDefault="005121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18D2" w:rsidTr="00345119">
        <w:tc>
          <w:tcPr>
            <w:tcW w:w="9576" w:type="dxa"/>
          </w:tcPr>
          <w:p w:rsidR="008423E4" w:rsidRPr="00A8133F" w:rsidRDefault="00512145" w:rsidP="00B41DEB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2145" w:rsidP="00B41DEB">
            <w:pPr>
              <w:jc w:val="both"/>
            </w:pPr>
          </w:p>
          <w:p w:rsidR="008423E4" w:rsidRDefault="00512145" w:rsidP="00B41DEB">
            <w:pPr>
              <w:pStyle w:val="Header"/>
              <w:jc w:val="both"/>
            </w:pPr>
            <w:r>
              <w:t xml:space="preserve">There have been calls to </w:t>
            </w:r>
            <w:r>
              <w:t xml:space="preserve">clarify </w:t>
            </w:r>
            <w:r>
              <w:t xml:space="preserve">and update statutory language </w:t>
            </w:r>
            <w:r>
              <w:t>with regard</w:t>
            </w:r>
            <w:r>
              <w:t xml:space="preserve"> to </w:t>
            </w:r>
            <w:r>
              <w:t xml:space="preserve">the status of </w:t>
            </w:r>
            <w:r>
              <w:t xml:space="preserve">Texas State Guard </w:t>
            </w:r>
            <w:r>
              <w:t xml:space="preserve">members when they retire from </w:t>
            </w:r>
            <w:r>
              <w:t>service</w:t>
            </w:r>
            <w:r>
              <w:t xml:space="preserve">. </w:t>
            </w:r>
            <w:r>
              <w:t>C.S.</w:t>
            </w:r>
            <w:r>
              <w:t xml:space="preserve">H.B. 1725 seeks to address </w:t>
            </w:r>
            <w:r>
              <w:t>these calls</w:t>
            </w:r>
            <w:r>
              <w:t xml:space="preserve"> by revising the authorization for the governor </w:t>
            </w:r>
            <w:r w:rsidRPr="00F1418C">
              <w:t xml:space="preserve">or the adjutant general to transfer certain eligible </w:t>
            </w:r>
            <w:r w:rsidRPr="00F1418C">
              <w:t xml:space="preserve">Texas State Guard </w:t>
            </w:r>
            <w:r w:rsidRPr="00F1418C">
              <w:t>officers and enlisted service members to the Texas State</w:t>
            </w:r>
            <w:r w:rsidRPr="00F1418C">
              <w:t xml:space="preserve"> Guard Honorary Reserve</w:t>
            </w:r>
            <w:r>
              <w:t xml:space="preserve"> to authorize those officers and services members instead to be placed on retired status</w:t>
            </w:r>
            <w:r>
              <w:t xml:space="preserve">. </w:t>
            </w:r>
          </w:p>
          <w:p w:rsidR="008423E4" w:rsidRPr="00E26B13" w:rsidRDefault="00512145" w:rsidP="00B41DEB">
            <w:pPr>
              <w:jc w:val="both"/>
              <w:rPr>
                <w:b/>
              </w:rPr>
            </w:pPr>
          </w:p>
        </w:tc>
      </w:tr>
      <w:tr w:rsidR="00B518D2" w:rsidTr="00345119">
        <w:tc>
          <w:tcPr>
            <w:tcW w:w="9576" w:type="dxa"/>
          </w:tcPr>
          <w:p w:rsidR="0017725B" w:rsidRDefault="00512145" w:rsidP="00B41D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2145" w:rsidP="00B41DEB">
            <w:pPr>
              <w:jc w:val="both"/>
              <w:rPr>
                <w:b/>
                <w:u w:val="single"/>
              </w:rPr>
            </w:pPr>
          </w:p>
          <w:p w:rsidR="00D460F9" w:rsidRPr="00D460F9" w:rsidRDefault="00512145" w:rsidP="00B41DEB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512145" w:rsidP="00B41DEB">
            <w:pPr>
              <w:jc w:val="center"/>
              <w:rPr>
                <w:b/>
                <w:u w:val="single"/>
              </w:rPr>
            </w:pPr>
          </w:p>
        </w:tc>
      </w:tr>
      <w:tr w:rsidR="00B518D2" w:rsidTr="00345119">
        <w:tc>
          <w:tcPr>
            <w:tcW w:w="9576" w:type="dxa"/>
          </w:tcPr>
          <w:p w:rsidR="008423E4" w:rsidRPr="00A8133F" w:rsidRDefault="00512145" w:rsidP="00B41DEB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2145" w:rsidP="00B41DEB">
            <w:pPr>
              <w:jc w:val="both"/>
            </w:pPr>
          </w:p>
          <w:p w:rsidR="00D460F9" w:rsidRDefault="00512145" w:rsidP="00B4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512145" w:rsidP="00B41DEB">
            <w:pPr>
              <w:jc w:val="both"/>
              <w:rPr>
                <w:b/>
              </w:rPr>
            </w:pPr>
          </w:p>
        </w:tc>
      </w:tr>
      <w:tr w:rsidR="00B518D2" w:rsidTr="00345119">
        <w:tc>
          <w:tcPr>
            <w:tcW w:w="9576" w:type="dxa"/>
          </w:tcPr>
          <w:p w:rsidR="003C4E6F" w:rsidRDefault="00512145" w:rsidP="00B41DEB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41DEB" w:rsidRPr="00A8133F" w:rsidRDefault="00512145" w:rsidP="00B41DEB">
            <w:pPr>
              <w:jc w:val="both"/>
              <w:rPr>
                <w:b/>
              </w:rPr>
            </w:pPr>
          </w:p>
          <w:p w:rsidR="005B0BB5" w:rsidRDefault="00512145" w:rsidP="00B41DEB">
            <w:pPr>
              <w:jc w:val="both"/>
            </w:pPr>
            <w:r>
              <w:t>C.S.</w:t>
            </w:r>
            <w:r>
              <w:t>H.B. 1725 amends the Government Code</w:t>
            </w:r>
            <w:r>
              <w:t xml:space="preserve"> to </w:t>
            </w:r>
            <w:r>
              <w:t xml:space="preserve">replace </w:t>
            </w:r>
            <w:r>
              <w:t xml:space="preserve">the </w:t>
            </w:r>
            <w:r>
              <w:t>authorization for</w:t>
            </w:r>
            <w:r>
              <w:t xml:space="preserve"> the </w:t>
            </w:r>
            <w:r w:rsidRPr="00A40A52">
              <w:t>governor</w:t>
            </w:r>
            <w:r>
              <w:t>,</w:t>
            </w:r>
            <w:r w:rsidRPr="00A40A52">
              <w:t xml:space="preserve"> or </w:t>
            </w:r>
            <w:r>
              <w:t xml:space="preserve">the </w:t>
            </w:r>
            <w:r w:rsidRPr="00A40A52">
              <w:t>adjutant general under the governor's authority and directio</w:t>
            </w:r>
            <w:r w:rsidRPr="00A40A52">
              <w:t>n</w:t>
            </w:r>
            <w:r>
              <w:t>,</w:t>
            </w:r>
            <w:r>
              <w:t xml:space="preserve"> to transfer</w:t>
            </w:r>
            <w:r>
              <w:t xml:space="preserve"> </w:t>
            </w:r>
            <w:r>
              <w:t xml:space="preserve">certain eligible officers and </w:t>
            </w:r>
            <w:r w:rsidRPr="00F122C5">
              <w:t>enlisted service member</w:t>
            </w:r>
            <w:r>
              <w:t>s</w:t>
            </w:r>
            <w:r w:rsidRPr="00F122C5">
              <w:t xml:space="preserve"> of the Texas State Guard</w:t>
            </w:r>
            <w:r>
              <w:t xml:space="preserve"> </w:t>
            </w:r>
            <w:r>
              <w:t>to the Texas State Guard Honorary Reserve</w:t>
            </w:r>
            <w:r>
              <w:t xml:space="preserve"> </w:t>
            </w:r>
            <w:r>
              <w:t>with an authorization to place those officers and service members on retired status</w:t>
            </w:r>
            <w:r>
              <w:t xml:space="preserve"> on separation from the Texas State </w:t>
            </w:r>
            <w:r>
              <w:t>Guard</w:t>
            </w:r>
            <w:r>
              <w:t>. The bill</w:t>
            </w:r>
            <w:r>
              <w:t xml:space="preserve"> </w:t>
            </w:r>
            <w:r>
              <w:t xml:space="preserve">sets out </w:t>
            </w:r>
            <w:r>
              <w:t xml:space="preserve">the following </w:t>
            </w:r>
            <w:r>
              <w:t>with regard to</w:t>
            </w:r>
            <w:r>
              <w:t xml:space="preserve"> that placement:</w:t>
            </w:r>
          </w:p>
          <w:p w:rsidR="005B0BB5" w:rsidRDefault="00512145" w:rsidP="00B41DE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specifies </w:t>
            </w:r>
            <w:r>
              <w:t xml:space="preserve">that the condition of eligibility </w:t>
            </w:r>
            <w:r>
              <w:t xml:space="preserve">requiring at least 20 years </w:t>
            </w:r>
            <w:r>
              <w:t>of federal or state military service consists of at least five years of service in the Texas State Guard</w:t>
            </w:r>
            <w:r>
              <w:t>;</w:t>
            </w:r>
            <w:r>
              <w:t xml:space="preserve"> </w:t>
            </w:r>
          </w:p>
          <w:p w:rsidR="00EF1375" w:rsidRDefault="00512145" w:rsidP="00B41DE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specifies </w:t>
            </w:r>
            <w:r>
              <w:t>that the condition of eligibility relating to physical disability is disability as a result of service</w:t>
            </w:r>
            <w:r>
              <w:t>; and</w:t>
            </w:r>
          </w:p>
          <w:p w:rsidR="00A8760A" w:rsidRDefault="00512145" w:rsidP="00B41DE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removes </w:t>
            </w:r>
            <w:r>
              <w:t>as a</w:t>
            </w:r>
            <w:r>
              <w:t xml:space="preserve"> condition</w:t>
            </w:r>
            <w:r>
              <w:t xml:space="preserve"> of eligibility</w:t>
            </w:r>
            <w:r>
              <w:t xml:space="preserve"> that the member is at least 60 years of age</w:t>
            </w:r>
            <w:r>
              <w:t>.</w:t>
            </w:r>
          </w:p>
          <w:p w:rsidR="005B0BB5" w:rsidRDefault="00512145" w:rsidP="00B41DEB">
            <w:pPr>
              <w:jc w:val="both"/>
            </w:pPr>
          </w:p>
          <w:p w:rsidR="00F122C5" w:rsidRDefault="00512145" w:rsidP="00B41DEB">
            <w:pPr>
              <w:pStyle w:val="Header"/>
              <w:jc w:val="both"/>
            </w:pPr>
            <w:r>
              <w:t>C.S.</w:t>
            </w:r>
            <w:r>
              <w:t>H.B. 1725</w:t>
            </w:r>
            <w:r>
              <w:t xml:space="preserve"> </w:t>
            </w:r>
            <w:r>
              <w:t>clarifies the governor's authority to ad</w:t>
            </w:r>
            <w:r>
              <w:t xml:space="preserve">vance the service member one grade or rank at the time of the </w:t>
            </w:r>
            <w:r>
              <w:t xml:space="preserve">transfer </w:t>
            </w:r>
            <w:r>
              <w:t xml:space="preserve">to retired status and extends that authority to </w:t>
            </w:r>
            <w:r w:rsidRPr="00036ABA">
              <w:t>the adjutant general under the governor's authority and direction</w:t>
            </w:r>
            <w:r w:rsidRPr="00B15562">
              <w:t xml:space="preserve">. </w:t>
            </w:r>
            <w:r w:rsidRPr="00036ABA">
              <w:t>T</w:t>
            </w:r>
            <w:r>
              <w:t xml:space="preserve">he bill </w:t>
            </w:r>
            <w:r>
              <w:t xml:space="preserve">clarifies the </w:t>
            </w:r>
            <w:r>
              <w:t xml:space="preserve">duty of the </w:t>
            </w:r>
            <w:r>
              <w:t xml:space="preserve">commander of the Texas State Guard </w:t>
            </w:r>
            <w:r>
              <w:t xml:space="preserve">to </w:t>
            </w:r>
            <w:r>
              <w:t xml:space="preserve">maintain and preserve records </w:t>
            </w:r>
            <w:r>
              <w:t xml:space="preserve">of </w:t>
            </w:r>
            <w:r>
              <w:t xml:space="preserve">the officers or service members placed on retired status. </w:t>
            </w:r>
          </w:p>
          <w:p w:rsidR="008423E4" w:rsidRPr="00835628" w:rsidRDefault="00512145" w:rsidP="00B41DEB">
            <w:pPr>
              <w:jc w:val="both"/>
              <w:rPr>
                <w:b/>
              </w:rPr>
            </w:pPr>
          </w:p>
        </w:tc>
      </w:tr>
      <w:tr w:rsidR="00B518D2" w:rsidTr="00345119">
        <w:tc>
          <w:tcPr>
            <w:tcW w:w="9576" w:type="dxa"/>
          </w:tcPr>
          <w:p w:rsidR="008423E4" w:rsidRPr="00A8133F" w:rsidRDefault="00512145" w:rsidP="00B41DEB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2145" w:rsidP="00B41DEB">
            <w:pPr>
              <w:jc w:val="both"/>
            </w:pPr>
          </w:p>
          <w:p w:rsidR="008423E4" w:rsidRPr="003624F2" w:rsidRDefault="00512145" w:rsidP="00B41D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12145" w:rsidP="00B41DEB">
            <w:pPr>
              <w:jc w:val="both"/>
              <w:rPr>
                <w:b/>
              </w:rPr>
            </w:pPr>
          </w:p>
        </w:tc>
      </w:tr>
      <w:tr w:rsidR="00B518D2" w:rsidTr="00345119">
        <w:tc>
          <w:tcPr>
            <w:tcW w:w="9576" w:type="dxa"/>
          </w:tcPr>
          <w:p w:rsidR="00B41DEB" w:rsidRDefault="00512145" w:rsidP="00B41DEB">
            <w:pPr>
              <w:jc w:val="both"/>
              <w:rPr>
                <w:b/>
                <w:u w:val="single"/>
              </w:rPr>
            </w:pPr>
          </w:p>
          <w:p w:rsidR="000F07CA" w:rsidRDefault="00512145" w:rsidP="00B41D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41DEB" w:rsidRPr="000F07CA" w:rsidRDefault="00512145" w:rsidP="00B41DEB">
            <w:pPr>
              <w:jc w:val="both"/>
              <w:rPr>
                <w:b/>
                <w:u w:val="single"/>
              </w:rPr>
            </w:pPr>
          </w:p>
          <w:p w:rsidR="000F07CA" w:rsidRDefault="00512145" w:rsidP="00B41DEB">
            <w:pPr>
              <w:jc w:val="both"/>
            </w:pPr>
            <w:r>
              <w:t>While C.S.H.B. 1725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0F07CA" w:rsidRDefault="00512145" w:rsidP="00B41DEB">
            <w:pPr>
              <w:jc w:val="both"/>
            </w:pPr>
          </w:p>
          <w:p w:rsidR="00D50115" w:rsidRDefault="00512145" w:rsidP="00B41DEB">
            <w:pPr>
              <w:jc w:val="both"/>
            </w:pPr>
            <w:r>
              <w:t xml:space="preserve">The substitute includes a </w:t>
            </w:r>
            <w:r>
              <w:t>clarification</w:t>
            </w:r>
            <w:r>
              <w:t xml:space="preserve"> </w:t>
            </w:r>
            <w:r>
              <w:t xml:space="preserve">that the placement on retired status is </w:t>
            </w:r>
            <w:r>
              <w:t>placement on separation from the Texas State Guard.</w:t>
            </w:r>
            <w:r>
              <w:t xml:space="preserve"> </w:t>
            </w:r>
          </w:p>
          <w:p w:rsidR="00D50115" w:rsidRDefault="00512145" w:rsidP="00B41DEB">
            <w:pPr>
              <w:jc w:val="both"/>
            </w:pPr>
          </w:p>
          <w:p w:rsidR="000F07CA" w:rsidRDefault="00512145" w:rsidP="00B41DEB">
            <w:pPr>
              <w:jc w:val="both"/>
            </w:pPr>
            <w:r>
              <w:t xml:space="preserve">The substitute </w:t>
            </w:r>
            <w:r>
              <w:t>includes a specification relating to the member</w:t>
            </w:r>
            <w:r>
              <w:t>'</w:t>
            </w:r>
            <w:r>
              <w:t xml:space="preserve">s eligibility for placement on retired status with regard to physical disability that the disability is a result of service and </w:t>
            </w:r>
            <w:r>
              <w:t>removes</w:t>
            </w:r>
            <w:r>
              <w:t xml:space="preserve"> </w:t>
            </w:r>
            <w:r>
              <w:t xml:space="preserve">as </w:t>
            </w:r>
            <w:r>
              <w:t>a</w:t>
            </w:r>
            <w:r>
              <w:t xml:space="preserve"> condition</w:t>
            </w:r>
            <w:r>
              <w:t xml:space="preserve"> of</w:t>
            </w:r>
            <w:r>
              <w:t xml:space="preserve"> </w:t>
            </w:r>
            <w:r>
              <w:t>eligibility</w:t>
            </w:r>
            <w:r>
              <w:t xml:space="preserve"> that</w:t>
            </w:r>
            <w:r>
              <w:t xml:space="preserve"> the member i</w:t>
            </w:r>
            <w:r>
              <w:t>s at le</w:t>
            </w:r>
            <w:r>
              <w:t>ast 60 years of age</w:t>
            </w:r>
            <w:r>
              <w:t xml:space="preserve">. </w:t>
            </w:r>
          </w:p>
          <w:p w:rsidR="000F07CA" w:rsidRPr="000F07CA" w:rsidRDefault="00512145" w:rsidP="00B41DEB">
            <w:pPr>
              <w:jc w:val="both"/>
            </w:pPr>
          </w:p>
        </w:tc>
      </w:tr>
      <w:tr w:rsidR="00B518D2" w:rsidTr="00345119">
        <w:tc>
          <w:tcPr>
            <w:tcW w:w="9576" w:type="dxa"/>
          </w:tcPr>
          <w:p w:rsidR="00C0421B" w:rsidRPr="009C1E9A" w:rsidRDefault="00512145" w:rsidP="00B41DEB">
            <w:pPr>
              <w:jc w:val="both"/>
              <w:rPr>
                <w:b/>
                <w:u w:val="single"/>
              </w:rPr>
            </w:pPr>
          </w:p>
        </w:tc>
      </w:tr>
      <w:tr w:rsidR="00B518D2" w:rsidTr="00345119">
        <w:tc>
          <w:tcPr>
            <w:tcW w:w="9576" w:type="dxa"/>
          </w:tcPr>
          <w:p w:rsidR="00C0421B" w:rsidRPr="00C0421B" w:rsidRDefault="00512145" w:rsidP="00B41DEB">
            <w:pPr>
              <w:jc w:val="both"/>
            </w:pPr>
          </w:p>
        </w:tc>
      </w:tr>
    </w:tbl>
    <w:p w:rsidR="008423E4" w:rsidRPr="00BE0E75" w:rsidRDefault="005121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21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2145">
      <w:r>
        <w:separator/>
      </w:r>
    </w:p>
  </w:endnote>
  <w:endnote w:type="continuationSeparator" w:id="0">
    <w:p w:rsidR="00000000" w:rsidRDefault="005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2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18D2" w:rsidTr="009C1E9A">
      <w:trPr>
        <w:cantSplit/>
      </w:trPr>
      <w:tc>
        <w:tcPr>
          <w:tcW w:w="0" w:type="pct"/>
        </w:tcPr>
        <w:p w:rsidR="00137D90" w:rsidRDefault="00512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21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21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2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2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8D2" w:rsidTr="009C1E9A">
      <w:trPr>
        <w:cantSplit/>
      </w:trPr>
      <w:tc>
        <w:tcPr>
          <w:tcW w:w="0" w:type="pct"/>
        </w:tcPr>
        <w:p w:rsidR="00EC379B" w:rsidRDefault="00512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21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21470</w:t>
          </w:r>
        </w:p>
      </w:tc>
      <w:tc>
        <w:tcPr>
          <w:tcW w:w="2453" w:type="pct"/>
        </w:tcPr>
        <w:p w:rsidR="00EC379B" w:rsidRDefault="00512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19.99.1171</w:t>
          </w:r>
          <w:r>
            <w:fldChar w:fldCharType="end"/>
          </w:r>
        </w:p>
      </w:tc>
    </w:tr>
    <w:tr w:rsidR="00B518D2" w:rsidTr="009C1E9A">
      <w:trPr>
        <w:cantSplit/>
      </w:trPr>
      <w:tc>
        <w:tcPr>
          <w:tcW w:w="0" w:type="pct"/>
        </w:tcPr>
        <w:p w:rsidR="00EC379B" w:rsidRDefault="005121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21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21112</w:t>
          </w:r>
        </w:p>
      </w:tc>
      <w:tc>
        <w:tcPr>
          <w:tcW w:w="2453" w:type="pct"/>
        </w:tcPr>
        <w:p w:rsidR="00EC379B" w:rsidRDefault="00512145" w:rsidP="006D504F">
          <w:pPr>
            <w:pStyle w:val="Footer"/>
            <w:rPr>
              <w:rStyle w:val="PageNumber"/>
            </w:rPr>
          </w:pPr>
        </w:p>
        <w:p w:rsidR="00EC379B" w:rsidRDefault="00512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18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21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121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21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2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2145">
      <w:r>
        <w:separator/>
      </w:r>
    </w:p>
  </w:footnote>
  <w:footnote w:type="continuationSeparator" w:id="0">
    <w:p w:rsidR="00000000" w:rsidRDefault="0051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2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2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2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690"/>
    <w:multiLevelType w:val="hybridMultilevel"/>
    <w:tmpl w:val="EF203ECA"/>
    <w:lvl w:ilvl="0" w:tplc="CA862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B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7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65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A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CE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86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4C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B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67A"/>
    <w:multiLevelType w:val="hybridMultilevel"/>
    <w:tmpl w:val="121E69EA"/>
    <w:lvl w:ilvl="0" w:tplc="AB2C2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87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0A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F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C6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E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A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2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356F"/>
    <w:multiLevelType w:val="hybridMultilevel"/>
    <w:tmpl w:val="3620E3CC"/>
    <w:lvl w:ilvl="0" w:tplc="5BCAE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E5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CB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64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D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84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C6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2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81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1C26"/>
    <w:multiLevelType w:val="hybridMultilevel"/>
    <w:tmpl w:val="2B441AD2"/>
    <w:lvl w:ilvl="0" w:tplc="3238D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A4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E9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7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ED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EA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F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66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65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2"/>
    <w:rsid w:val="00512145"/>
    <w:rsid w:val="00B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3524A5-3815-4150-BBF9-7D98A76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60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0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0F9"/>
    <w:rPr>
      <w:b/>
      <w:bCs/>
    </w:rPr>
  </w:style>
  <w:style w:type="paragraph" w:styleId="ListParagraph">
    <w:name w:val="List Paragraph"/>
    <w:basedOn w:val="Normal"/>
    <w:uiPriority w:val="34"/>
    <w:qFormat/>
    <w:rsid w:val="00EF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2567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HB01725 (Committee Report (Substituted))</vt:lpstr>
    </vt:vector>
  </TitlesOfParts>
  <Company>State of Texas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21470</dc:subject>
  <dc:creator>State of Texas</dc:creator>
  <dc:description>HB 1725 by Huberty-(H)Defense &amp; Veterans' Affairs (Substitute Document Number: 86R 21112)</dc:description>
  <cp:lastModifiedBy>Scotty Wimberley</cp:lastModifiedBy>
  <cp:revision>2</cp:revision>
  <cp:lastPrinted>2003-11-26T17:21:00Z</cp:lastPrinted>
  <dcterms:created xsi:type="dcterms:W3CDTF">2019-04-11T18:18:00Z</dcterms:created>
  <dcterms:modified xsi:type="dcterms:W3CDTF">2019-04-11T18:18:00Z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19.99.1171</vt:lpwstr>
  </property>
</Properties>
</file>