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A7B67" w:rsidTr="00345119">
        <w:tc>
          <w:tcPr>
            <w:tcW w:w="9576" w:type="dxa"/>
            <w:noWrap/>
          </w:tcPr>
          <w:p w:rsidR="008423E4" w:rsidRPr="0022177D" w:rsidRDefault="002422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2274" w:rsidP="008423E4">
      <w:pPr>
        <w:jc w:val="center"/>
      </w:pPr>
    </w:p>
    <w:p w:rsidR="008423E4" w:rsidRPr="00B31F0E" w:rsidRDefault="00242274" w:rsidP="008423E4"/>
    <w:p w:rsidR="008423E4" w:rsidRPr="00742794" w:rsidRDefault="002422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A7B67" w:rsidTr="00345119">
        <w:tc>
          <w:tcPr>
            <w:tcW w:w="9576" w:type="dxa"/>
          </w:tcPr>
          <w:p w:rsidR="008423E4" w:rsidRPr="00861995" w:rsidRDefault="00242274" w:rsidP="00345119">
            <w:pPr>
              <w:jc w:val="right"/>
            </w:pPr>
            <w:r>
              <w:t>C.S.H.B. 1729</w:t>
            </w:r>
          </w:p>
        </w:tc>
      </w:tr>
      <w:tr w:rsidR="007A7B67" w:rsidTr="00345119">
        <w:tc>
          <w:tcPr>
            <w:tcW w:w="9576" w:type="dxa"/>
          </w:tcPr>
          <w:p w:rsidR="008423E4" w:rsidRPr="00861995" w:rsidRDefault="00242274" w:rsidP="00AC2E29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7A7B67" w:rsidTr="00345119">
        <w:tc>
          <w:tcPr>
            <w:tcW w:w="9576" w:type="dxa"/>
          </w:tcPr>
          <w:p w:rsidR="008423E4" w:rsidRPr="00861995" w:rsidRDefault="00242274" w:rsidP="00345119">
            <w:pPr>
              <w:jc w:val="right"/>
            </w:pPr>
            <w:r>
              <w:t>Ways &amp; Means</w:t>
            </w:r>
          </w:p>
        </w:tc>
      </w:tr>
      <w:tr w:rsidR="007A7B67" w:rsidTr="00345119">
        <w:tc>
          <w:tcPr>
            <w:tcW w:w="9576" w:type="dxa"/>
          </w:tcPr>
          <w:p w:rsidR="008423E4" w:rsidRDefault="0024227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2274" w:rsidP="008423E4">
      <w:pPr>
        <w:tabs>
          <w:tab w:val="right" w:pos="9360"/>
        </w:tabs>
      </w:pPr>
    </w:p>
    <w:p w:rsidR="008423E4" w:rsidRDefault="00242274" w:rsidP="008423E4"/>
    <w:p w:rsidR="008423E4" w:rsidRDefault="002422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A7B67" w:rsidTr="00345119">
        <w:tc>
          <w:tcPr>
            <w:tcW w:w="9576" w:type="dxa"/>
          </w:tcPr>
          <w:p w:rsidR="008423E4" w:rsidRPr="00A8133F" w:rsidRDefault="00242274" w:rsidP="00142A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2274" w:rsidP="00142A8E"/>
          <w:p w:rsidR="008423E4" w:rsidRDefault="00242274" w:rsidP="00142A8E">
            <w:pPr>
              <w:pStyle w:val="Header"/>
              <w:jc w:val="both"/>
            </w:pPr>
            <w:r>
              <w:t xml:space="preserve">Concerns have been raised about the costs to the state regarding the discount </w:t>
            </w:r>
            <w:r>
              <w:t>rate provided</w:t>
            </w:r>
            <w:r>
              <w:t xml:space="preserve"> for the prepayment of sales and use taxes. There have been calls to provide an alternative prepayment discount rate in order to maintain an attractive incen</w:t>
            </w:r>
            <w:r>
              <w:t xml:space="preserve">tive to taxpayers while achieving returns for the state </w:t>
            </w:r>
            <w:r>
              <w:t xml:space="preserve">that are </w:t>
            </w:r>
            <w:r>
              <w:t xml:space="preserve">above market rates. </w:t>
            </w:r>
            <w:r>
              <w:t>C.S.</w:t>
            </w:r>
            <w:r>
              <w:t xml:space="preserve">H.B. 1729 </w:t>
            </w:r>
            <w:r>
              <w:t>seeks to address this issue by offering such an alternative prepayment discount rate to Texas business</w:t>
            </w:r>
            <w:r>
              <w:t>es</w:t>
            </w:r>
            <w:r>
              <w:t>.</w:t>
            </w:r>
          </w:p>
          <w:p w:rsidR="008423E4" w:rsidRPr="00E26B13" w:rsidRDefault="00242274" w:rsidP="00142A8E">
            <w:pPr>
              <w:rPr>
                <w:b/>
              </w:rPr>
            </w:pPr>
          </w:p>
        </w:tc>
      </w:tr>
      <w:tr w:rsidR="007A7B67" w:rsidTr="00345119">
        <w:tc>
          <w:tcPr>
            <w:tcW w:w="9576" w:type="dxa"/>
          </w:tcPr>
          <w:p w:rsidR="0017725B" w:rsidRDefault="00242274" w:rsidP="00142A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2274" w:rsidP="00142A8E">
            <w:pPr>
              <w:rPr>
                <w:b/>
                <w:u w:val="single"/>
              </w:rPr>
            </w:pPr>
          </w:p>
          <w:p w:rsidR="004645ED" w:rsidRPr="004645ED" w:rsidRDefault="00242274" w:rsidP="00142A8E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242274" w:rsidP="00142A8E">
            <w:pPr>
              <w:rPr>
                <w:b/>
                <w:u w:val="single"/>
              </w:rPr>
            </w:pPr>
          </w:p>
        </w:tc>
      </w:tr>
      <w:tr w:rsidR="007A7B67" w:rsidTr="00345119">
        <w:tc>
          <w:tcPr>
            <w:tcW w:w="9576" w:type="dxa"/>
          </w:tcPr>
          <w:p w:rsidR="008423E4" w:rsidRPr="00A8133F" w:rsidRDefault="00242274" w:rsidP="00142A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2274" w:rsidP="00142A8E"/>
          <w:p w:rsidR="004645ED" w:rsidRDefault="00242274" w:rsidP="00142A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242274" w:rsidP="00142A8E">
            <w:pPr>
              <w:rPr>
                <w:b/>
              </w:rPr>
            </w:pPr>
          </w:p>
        </w:tc>
      </w:tr>
      <w:tr w:rsidR="007A7B67" w:rsidTr="00345119">
        <w:tc>
          <w:tcPr>
            <w:tcW w:w="9576" w:type="dxa"/>
          </w:tcPr>
          <w:p w:rsidR="008423E4" w:rsidRPr="00A8133F" w:rsidRDefault="00242274" w:rsidP="00142A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2274" w:rsidP="00142A8E"/>
          <w:p w:rsidR="00A573C9" w:rsidRDefault="00242274" w:rsidP="00142A8E">
            <w:pPr>
              <w:pStyle w:val="Header"/>
              <w:jc w:val="both"/>
            </w:pPr>
            <w:r>
              <w:t>C.S.</w:t>
            </w:r>
            <w:r>
              <w:t xml:space="preserve">H.B. 1729 amends the </w:t>
            </w:r>
            <w:r w:rsidRPr="00AE3D18">
              <w:t>Tax Code</w:t>
            </w:r>
            <w:r>
              <w:t xml:space="preserve"> to change the amount that a taxpayer who prepays </w:t>
            </w:r>
            <w:r>
              <w:t xml:space="preserve">the taxpayer's </w:t>
            </w:r>
            <w:r w:rsidRPr="00AE3D18">
              <w:t>tax liability</w:t>
            </w:r>
            <w:r>
              <w:t>,</w:t>
            </w:r>
            <w:r w:rsidRPr="00AE3D18">
              <w:t xml:space="preserve"> on the basis of a reasonable estimate </w:t>
            </w:r>
            <w:r>
              <w:t xml:space="preserve">of the tax liability </w:t>
            </w:r>
            <w:r w:rsidRPr="00AE3D18">
              <w:t>for a quarter i</w:t>
            </w:r>
            <w:r>
              <w:t>n which a prepayment is made</w:t>
            </w:r>
            <w:r>
              <w:t>,</w:t>
            </w:r>
            <w:r>
              <w:t xml:space="preserve"> </w:t>
            </w:r>
            <w:r>
              <w:t>may</w:t>
            </w:r>
            <w:r w:rsidRPr="00AE3D18">
              <w:t xml:space="preserve"> deduct and withhold</w:t>
            </w:r>
            <w:r>
              <w:t xml:space="preserve"> </w:t>
            </w:r>
            <w:r>
              <w:t>from</w:t>
            </w:r>
            <w:r>
              <w:t xml:space="preserve"> an amount that is</w:t>
            </w:r>
            <w:r>
              <w:t xml:space="preserve"> </w:t>
            </w:r>
            <w:r w:rsidRPr="00AE3D18">
              <w:t>1.25 percent of the amount of the prepayment</w:t>
            </w:r>
            <w:r>
              <w:t xml:space="preserve"> to </w:t>
            </w:r>
            <w:r>
              <w:t xml:space="preserve">an amount that is </w:t>
            </w:r>
            <w:r>
              <w:t>the lesser of</w:t>
            </w:r>
            <w:r>
              <w:t xml:space="preserve"> the following</w:t>
            </w:r>
            <w:r>
              <w:t>, as determined by the comptroller of public accou</w:t>
            </w:r>
            <w:r>
              <w:t>nts</w:t>
            </w:r>
            <w:r>
              <w:t xml:space="preserve"> under the bill's provisions:</w:t>
            </w:r>
          </w:p>
          <w:p w:rsidR="00A573C9" w:rsidRDefault="00242274" w:rsidP="00142A8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AE3D18">
              <w:t>1.25 percent of the amount of the prepayment</w:t>
            </w:r>
            <w:r>
              <w:t xml:space="preserve">; or </w:t>
            </w:r>
          </w:p>
          <w:p w:rsidR="00A573C9" w:rsidRDefault="00242274" w:rsidP="00142A8E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AE3D18">
              <w:t>an annually adjusted percentage of the amount of the prepayment that yields an annualized rate of return equal to the prime rate as published in The Wall Street Journal on t</w:t>
            </w:r>
            <w:r w:rsidRPr="00AE3D18">
              <w:t>he first business day of each calendar year, plus four percent</w:t>
            </w:r>
            <w:r>
              <w:t xml:space="preserve">. </w:t>
            </w:r>
          </w:p>
          <w:p w:rsidR="00A573C9" w:rsidRPr="000B62A3" w:rsidRDefault="00242274" w:rsidP="00142A8E">
            <w:pPr>
              <w:pStyle w:val="Header"/>
              <w:spacing w:before="120" w:after="120"/>
              <w:jc w:val="both"/>
              <w:rPr>
                <w:sz w:val="20"/>
              </w:rPr>
            </w:pPr>
          </w:p>
          <w:p w:rsidR="008423E4" w:rsidRDefault="00242274" w:rsidP="00142A8E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1729</w:t>
            </w:r>
            <w:r>
              <w:t xml:space="preserve"> requires the comptroller, not later than January 5 of each year, to determine the percentage of a taxpayer's prepayment that may be deducted and withheld and </w:t>
            </w:r>
            <w:r>
              <w:t xml:space="preserve">to </w:t>
            </w:r>
            <w:r>
              <w:t xml:space="preserve">publish </w:t>
            </w:r>
            <w:r>
              <w:t xml:space="preserve">that </w:t>
            </w:r>
            <w:r>
              <w:t>pe</w:t>
            </w:r>
            <w:r>
              <w:t xml:space="preserve">rcentage on the comptroller's </w:t>
            </w:r>
            <w:r>
              <w:t xml:space="preserve">website. The bill requires the comptroller to make the initial determination not later than January 5, 2020. </w:t>
            </w:r>
            <w:r>
              <w:t>The bill makes the</w:t>
            </w:r>
            <w:r>
              <w:t xml:space="preserve"> </w:t>
            </w:r>
            <w:r>
              <w:t>percentage</w:t>
            </w:r>
            <w:r>
              <w:t xml:space="preserve"> so determined</w:t>
            </w:r>
            <w:r>
              <w:t xml:space="preserve"> applicable to </w:t>
            </w:r>
            <w:r w:rsidRPr="00AE3D18">
              <w:t>a deduction and withholding from a prepayment of tax liabil</w:t>
            </w:r>
            <w:r w:rsidRPr="00AE3D18">
              <w:t>ity that a taxpayer makes on or after January 15 of the year the comptroller makes the determination and before January 15 of the succeeding year.</w:t>
            </w:r>
            <w:r>
              <w:t xml:space="preserve"> The bill's provisions apply to </w:t>
            </w:r>
            <w:r w:rsidRPr="00CE397A">
              <w:t>a prepayment of tax liability made on or after January 15, 2020.</w:t>
            </w:r>
            <w:r>
              <w:t xml:space="preserve"> </w:t>
            </w:r>
          </w:p>
          <w:p w:rsidR="008423E4" w:rsidRPr="000B62A3" w:rsidRDefault="00242274" w:rsidP="00142A8E">
            <w:pPr>
              <w:rPr>
                <w:b/>
                <w:sz w:val="20"/>
              </w:rPr>
            </w:pPr>
          </w:p>
        </w:tc>
      </w:tr>
      <w:tr w:rsidR="007A7B67" w:rsidTr="00345119">
        <w:tc>
          <w:tcPr>
            <w:tcW w:w="9576" w:type="dxa"/>
          </w:tcPr>
          <w:p w:rsidR="008423E4" w:rsidRPr="00A8133F" w:rsidRDefault="00242274" w:rsidP="00142A8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242274" w:rsidP="00142A8E"/>
          <w:p w:rsidR="008423E4" w:rsidRDefault="00242274" w:rsidP="00142A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45ED">
              <w:t>October 1, 2019.</w:t>
            </w:r>
          </w:p>
          <w:p w:rsidR="00F778E7" w:rsidRPr="00233FDB" w:rsidRDefault="00242274" w:rsidP="00142A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A7B67" w:rsidTr="00345119">
        <w:tc>
          <w:tcPr>
            <w:tcW w:w="9576" w:type="dxa"/>
          </w:tcPr>
          <w:p w:rsidR="00AC2E29" w:rsidRDefault="00242274" w:rsidP="00142A8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778E7" w:rsidRPr="00F778E7" w:rsidRDefault="00242274" w:rsidP="00142A8E">
            <w:pPr>
              <w:jc w:val="both"/>
            </w:pPr>
          </w:p>
          <w:p w:rsidR="00697F0D" w:rsidRDefault="00242274" w:rsidP="00142A8E">
            <w:pPr>
              <w:jc w:val="both"/>
            </w:pPr>
            <w:r>
              <w:t>C.S.H.B. 1729 differs from the original in minor or nonsubstantive ways to make technical corrections.</w:t>
            </w:r>
          </w:p>
          <w:p w:rsidR="00697F0D" w:rsidRPr="00697F0D" w:rsidRDefault="00242274" w:rsidP="00142A8E">
            <w:pPr>
              <w:jc w:val="both"/>
            </w:pPr>
          </w:p>
        </w:tc>
      </w:tr>
      <w:tr w:rsidR="007A7B67" w:rsidTr="00345119">
        <w:tc>
          <w:tcPr>
            <w:tcW w:w="9576" w:type="dxa"/>
          </w:tcPr>
          <w:p w:rsidR="00AC2E29" w:rsidRPr="009C1E9A" w:rsidRDefault="00242274" w:rsidP="00142A8E">
            <w:pPr>
              <w:rPr>
                <w:b/>
                <w:u w:val="single"/>
              </w:rPr>
            </w:pPr>
          </w:p>
        </w:tc>
      </w:tr>
      <w:tr w:rsidR="007A7B67" w:rsidTr="00345119">
        <w:tc>
          <w:tcPr>
            <w:tcW w:w="9576" w:type="dxa"/>
          </w:tcPr>
          <w:p w:rsidR="00AC2E29" w:rsidRPr="00AC2E29" w:rsidRDefault="00242274" w:rsidP="00142A8E">
            <w:pPr>
              <w:jc w:val="both"/>
            </w:pPr>
          </w:p>
        </w:tc>
      </w:tr>
    </w:tbl>
    <w:p w:rsidR="004108C3" w:rsidRPr="000B62A3" w:rsidRDefault="00242274" w:rsidP="008423E4">
      <w:pPr>
        <w:rPr>
          <w:sz w:val="12"/>
        </w:rPr>
      </w:pPr>
    </w:p>
    <w:sectPr w:rsidR="004108C3" w:rsidRPr="000B62A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274">
      <w:r>
        <w:separator/>
      </w:r>
    </w:p>
  </w:endnote>
  <w:endnote w:type="continuationSeparator" w:id="0">
    <w:p w:rsidR="00000000" w:rsidRDefault="002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A7B67" w:rsidTr="009C1E9A">
      <w:trPr>
        <w:cantSplit/>
      </w:trPr>
      <w:tc>
        <w:tcPr>
          <w:tcW w:w="0" w:type="pct"/>
        </w:tcPr>
        <w:p w:rsidR="00137D90" w:rsidRDefault="00242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22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22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2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2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7B67" w:rsidTr="009C1E9A">
      <w:trPr>
        <w:cantSplit/>
      </w:trPr>
      <w:tc>
        <w:tcPr>
          <w:tcW w:w="0" w:type="pct"/>
        </w:tcPr>
        <w:p w:rsidR="00EC379B" w:rsidRDefault="002422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22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25971</w:t>
          </w:r>
        </w:p>
      </w:tc>
      <w:tc>
        <w:tcPr>
          <w:tcW w:w="2453" w:type="pct"/>
        </w:tcPr>
        <w:p w:rsidR="00EC379B" w:rsidRDefault="00242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19.100.733</w:t>
          </w:r>
          <w:r>
            <w:fldChar w:fldCharType="end"/>
          </w:r>
        </w:p>
      </w:tc>
    </w:tr>
    <w:tr w:rsidR="007A7B67" w:rsidTr="009C1E9A">
      <w:trPr>
        <w:cantSplit/>
      </w:trPr>
      <w:tc>
        <w:tcPr>
          <w:tcW w:w="0" w:type="pct"/>
        </w:tcPr>
        <w:p w:rsidR="00EC379B" w:rsidRDefault="002422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22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12714</w:t>
          </w:r>
        </w:p>
      </w:tc>
      <w:tc>
        <w:tcPr>
          <w:tcW w:w="2453" w:type="pct"/>
        </w:tcPr>
        <w:p w:rsidR="00EC379B" w:rsidRDefault="00242274" w:rsidP="006D504F">
          <w:pPr>
            <w:pStyle w:val="Footer"/>
            <w:rPr>
              <w:rStyle w:val="PageNumber"/>
            </w:rPr>
          </w:pPr>
        </w:p>
        <w:p w:rsidR="00EC379B" w:rsidRDefault="002422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A7B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22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422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22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274">
      <w:r>
        <w:separator/>
      </w:r>
    </w:p>
  </w:footnote>
  <w:footnote w:type="continuationSeparator" w:id="0">
    <w:p w:rsidR="00000000" w:rsidRDefault="002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741B"/>
    <w:multiLevelType w:val="hybridMultilevel"/>
    <w:tmpl w:val="FA4606DA"/>
    <w:lvl w:ilvl="0" w:tplc="EBACA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E6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6E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A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ED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7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46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E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34B9"/>
    <w:multiLevelType w:val="hybridMultilevel"/>
    <w:tmpl w:val="9B8A846C"/>
    <w:lvl w:ilvl="0" w:tplc="1E14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49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8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C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C8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8C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0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23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7"/>
    <w:rsid w:val="00242274"/>
    <w:rsid w:val="007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1B197-D93D-4763-8F4D-A74B4D38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39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9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2213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HB01729 (Committee Report (Substituted))</vt:lpstr>
    </vt:vector>
  </TitlesOfParts>
  <Company>State of Texas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25971</dc:subject>
  <dc:creator>State of Texas</dc:creator>
  <dc:description>HB 1729 by Murphy-(H)Ways &amp; Means (Substitute Document Number: 86R 12714)</dc:description>
  <cp:lastModifiedBy>Stacey Nicchio</cp:lastModifiedBy>
  <cp:revision>2</cp:revision>
  <cp:lastPrinted>2003-11-26T17:21:00Z</cp:lastPrinted>
  <dcterms:created xsi:type="dcterms:W3CDTF">2019-04-12T22:16:00Z</dcterms:created>
  <dcterms:modified xsi:type="dcterms:W3CDTF">2019-04-12T22:16:00Z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19.100.733</vt:lpwstr>
  </property>
</Properties>
</file>