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B0286" w:rsidTr="00345119">
        <w:tc>
          <w:tcPr>
            <w:tcW w:w="9576" w:type="dxa"/>
            <w:noWrap/>
          </w:tcPr>
          <w:p w:rsidR="008423E4" w:rsidRPr="0022177D" w:rsidRDefault="002E67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679D" w:rsidP="008423E4">
      <w:pPr>
        <w:jc w:val="center"/>
      </w:pPr>
    </w:p>
    <w:p w:rsidR="008423E4" w:rsidRPr="00B31F0E" w:rsidRDefault="002E679D" w:rsidP="008423E4"/>
    <w:p w:rsidR="008423E4" w:rsidRPr="00742794" w:rsidRDefault="002E67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0286" w:rsidTr="00345119">
        <w:tc>
          <w:tcPr>
            <w:tcW w:w="9576" w:type="dxa"/>
          </w:tcPr>
          <w:p w:rsidR="008423E4" w:rsidRPr="00861995" w:rsidRDefault="002E679D" w:rsidP="00345119">
            <w:pPr>
              <w:jc w:val="right"/>
            </w:pPr>
            <w:r>
              <w:t>C.S.H.B. 1734</w:t>
            </w:r>
          </w:p>
        </w:tc>
      </w:tr>
      <w:tr w:rsidR="003B0286" w:rsidTr="00345119">
        <w:tc>
          <w:tcPr>
            <w:tcW w:w="9576" w:type="dxa"/>
          </w:tcPr>
          <w:p w:rsidR="008423E4" w:rsidRPr="00861995" w:rsidRDefault="002E679D" w:rsidP="0036000F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3B0286" w:rsidTr="00345119">
        <w:tc>
          <w:tcPr>
            <w:tcW w:w="9576" w:type="dxa"/>
          </w:tcPr>
          <w:p w:rsidR="008423E4" w:rsidRPr="00861995" w:rsidRDefault="002E679D" w:rsidP="00345119">
            <w:pPr>
              <w:jc w:val="right"/>
            </w:pPr>
            <w:r>
              <w:t>Judiciary &amp; Civil Jurisprudence</w:t>
            </w:r>
          </w:p>
        </w:tc>
      </w:tr>
      <w:tr w:rsidR="003B0286" w:rsidTr="00345119">
        <w:tc>
          <w:tcPr>
            <w:tcW w:w="9576" w:type="dxa"/>
          </w:tcPr>
          <w:p w:rsidR="008423E4" w:rsidRDefault="002E679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E679D" w:rsidP="008423E4">
      <w:pPr>
        <w:tabs>
          <w:tab w:val="right" w:pos="9360"/>
        </w:tabs>
      </w:pPr>
    </w:p>
    <w:p w:rsidR="008423E4" w:rsidRDefault="002E679D" w:rsidP="008423E4"/>
    <w:p w:rsidR="008423E4" w:rsidRDefault="002E67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B0286" w:rsidTr="00345119">
        <w:tc>
          <w:tcPr>
            <w:tcW w:w="9576" w:type="dxa"/>
          </w:tcPr>
          <w:p w:rsidR="008423E4" w:rsidRPr="00A8133F" w:rsidRDefault="002E679D" w:rsidP="004B6D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679D" w:rsidP="004B6DF9"/>
          <w:p w:rsidR="008423E4" w:rsidRDefault="002E679D" w:rsidP="004B6D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</w:t>
            </w:r>
            <w:r w:rsidRPr="00BF5EA3">
              <w:t xml:space="preserve"> that </w:t>
            </w:r>
            <w:r>
              <w:t xml:space="preserve">a lack of restrictions on the purposes for which a public school district may spend </w:t>
            </w:r>
            <w:r>
              <w:t>the proceeds</w:t>
            </w:r>
            <w:r w:rsidRPr="00A17B51">
              <w:t xml:space="preserve"> from a verdict or settlement for alleged construction defects</w:t>
            </w:r>
            <w:r>
              <w:t xml:space="preserve"> may encourage unreasonable lawsuits against </w:t>
            </w:r>
            <w:r w:rsidRPr="00BF5EA3">
              <w:t xml:space="preserve">design professionals and construction contractors involved in school </w:t>
            </w:r>
            <w:r>
              <w:t xml:space="preserve">facility </w:t>
            </w:r>
            <w:r w:rsidRPr="00BF5EA3">
              <w:t>projects</w:t>
            </w:r>
            <w:r>
              <w:t>.</w:t>
            </w:r>
            <w:r w:rsidRPr="00BF5EA3">
              <w:t xml:space="preserve"> </w:t>
            </w:r>
            <w:r>
              <w:t>C.S.</w:t>
            </w:r>
            <w:r w:rsidRPr="00BF5EA3">
              <w:t>H</w:t>
            </w:r>
            <w:r>
              <w:t>.</w:t>
            </w:r>
            <w:r w:rsidRPr="00BF5EA3">
              <w:t>B</w:t>
            </w:r>
            <w:r>
              <w:t>.</w:t>
            </w:r>
            <w:r w:rsidRPr="00BF5EA3">
              <w:t xml:space="preserve"> 1734 </w:t>
            </w:r>
            <w:r>
              <w:t xml:space="preserve">seeks to address these concerns by </w:t>
            </w:r>
            <w:r>
              <w:t xml:space="preserve">restricting the purposes for which </w:t>
            </w:r>
            <w:r w:rsidRPr="00BF5EA3">
              <w:t xml:space="preserve">districts </w:t>
            </w:r>
            <w:r>
              <w:t>may</w:t>
            </w:r>
            <w:r w:rsidRPr="00BF5EA3">
              <w:t xml:space="preserve"> spend </w:t>
            </w:r>
            <w:r>
              <w:t xml:space="preserve">such </w:t>
            </w:r>
            <w:r>
              <w:t xml:space="preserve">proceeds </w:t>
            </w:r>
            <w:r>
              <w:t>and by broadening the applica</w:t>
            </w:r>
            <w:r>
              <w:t>bility</w:t>
            </w:r>
            <w:r>
              <w:t xml:space="preserve"> of certain accountability requirements</w:t>
            </w:r>
            <w:r w:rsidRPr="00BF5EA3">
              <w:t>.</w:t>
            </w:r>
          </w:p>
          <w:p w:rsidR="008423E4" w:rsidRPr="00E26B13" w:rsidRDefault="002E679D" w:rsidP="004B6DF9">
            <w:pPr>
              <w:rPr>
                <w:b/>
              </w:rPr>
            </w:pPr>
          </w:p>
        </w:tc>
      </w:tr>
      <w:tr w:rsidR="003B0286" w:rsidTr="00345119">
        <w:tc>
          <w:tcPr>
            <w:tcW w:w="9576" w:type="dxa"/>
          </w:tcPr>
          <w:p w:rsidR="0017725B" w:rsidRDefault="002E679D" w:rsidP="004B6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679D" w:rsidP="004B6DF9">
            <w:pPr>
              <w:rPr>
                <w:b/>
                <w:u w:val="single"/>
              </w:rPr>
            </w:pPr>
          </w:p>
          <w:p w:rsidR="00EB4D20" w:rsidRPr="00EB4D20" w:rsidRDefault="002E679D" w:rsidP="004B6DF9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E679D" w:rsidP="004B6DF9">
            <w:pPr>
              <w:rPr>
                <w:b/>
                <w:u w:val="single"/>
              </w:rPr>
            </w:pPr>
          </w:p>
        </w:tc>
      </w:tr>
      <w:tr w:rsidR="003B0286" w:rsidTr="00345119">
        <w:tc>
          <w:tcPr>
            <w:tcW w:w="9576" w:type="dxa"/>
          </w:tcPr>
          <w:p w:rsidR="008423E4" w:rsidRPr="00A8133F" w:rsidRDefault="002E679D" w:rsidP="004B6D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679D" w:rsidP="004B6DF9"/>
          <w:p w:rsidR="008E0BF2" w:rsidRDefault="002E679D" w:rsidP="004B6D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2E679D" w:rsidP="004B6DF9">
            <w:pPr>
              <w:rPr>
                <w:b/>
              </w:rPr>
            </w:pPr>
          </w:p>
        </w:tc>
      </w:tr>
      <w:tr w:rsidR="003B0286" w:rsidTr="00345119">
        <w:tc>
          <w:tcPr>
            <w:tcW w:w="9576" w:type="dxa"/>
          </w:tcPr>
          <w:p w:rsidR="008423E4" w:rsidRPr="00A8133F" w:rsidRDefault="002E679D" w:rsidP="004B6D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</w:p>
          <w:p w:rsidR="008423E4" w:rsidRDefault="002E679D" w:rsidP="004B6DF9"/>
          <w:p w:rsidR="0010143D" w:rsidRDefault="002E679D" w:rsidP="004B6D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1734 amends the Education Code </w:t>
            </w:r>
            <w:r>
              <w:t xml:space="preserve">to </w:t>
            </w:r>
            <w:r>
              <w:t>make applicable</w:t>
            </w:r>
            <w:r>
              <w:t xml:space="preserve"> </w:t>
            </w:r>
            <w:r>
              <w:t xml:space="preserve">to any public school district facility financed by bonds </w:t>
            </w:r>
            <w:r>
              <w:t>the following requirements</w:t>
            </w:r>
            <w:r>
              <w:t xml:space="preserve"> </w:t>
            </w:r>
            <w:r>
              <w:t>regarding</w:t>
            </w:r>
            <w:r>
              <w:t xml:space="preserve"> an action brought by a district for recovery of damages for the defective design, construction, renovation, or improvement </w:t>
            </w:r>
            <w:r>
              <w:t xml:space="preserve">of </w:t>
            </w:r>
            <w:r>
              <w:t>an</w:t>
            </w:r>
            <w:r>
              <w:t xml:space="preserve"> instructional facility financed b</w:t>
            </w:r>
            <w:r>
              <w:t xml:space="preserve">y bonds for which a district receives state assistance </w:t>
            </w:r>
            <w:r>
              <w:t>under the instructional facilities allotment</w:t>
            </w:r>
            <w:r>
              <w:t>:</w:t>
            </w:r>
          </w:p>
          <w:p w:rsidR="00772107" w:rsidRDefault="002E679D" w:rsidP="004B6DF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requirement for </w:t>
            </w:r>
            <w:r>
              <w:t xml:space="preserve">the district </w:t>
            </w:r>
            <w:r>
              <w:t xml:space="preserve">to provide </w:t>
            </w:r>
            <w:r>
              <w:t xml:space="preserve">written notice of </w:t>
            </w:r>
            <w:r>
              <w:t>the</w:t>
            </w:r>
            <w:r>
              <w:t xml:space="preserve"> action to the</w:t>
            </w:r>
            <w:r>
              <w:t xml:space="preserve"> commissioner of education</w:t>
            </w:r>
            <w:r>
              <w:t>;</w:t>
            </w:r>
            <w:r>
              <w:t xml:space="preserve"> and</w:t>
            </w:r>
          </w:p>
          <w:p w:rsidR="0010143D" w:rsidRDefault="002E679D" w:rsidP="004B6DF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requirement for</w:t>
            </w:r>
            <w:r>
              <w:t xml:space="preserve"> the district</w:t>
            </w:r>
            <w:r>
              <w:t xml:space="preserve"> to</w:t>
            </w:r>
            <w:r>
              <w:t xml:space="preserve"> use net proc</w:t>
            </w:r>
            <w:r>
              <w:t>eeds</w:t>
            </w:r>
            <w:r>
              <w:t xml:space="preserve"> </w:t>
            </w:r>
            <w:r>
              <w:t xml:space="preserve">from </w:t>
            </w:r>
            <w:r>
              <w:t>the action</w:t>
            </w:r>
            <w:r>
              <w:t xml:space="preserve"> for applicable facility repairs</w:t>
            </w:r>
            <w:r>
              <w:t xml:space="preserve"> or</w:t>
            </w:r>
            <w:r>
              <w:t xml:space="preserve"> </w:t>
            </w:r>
            <w:r>
              <w:t>facility replacement</w:t>
            </w:r>
            <w:r>
              <w:t>.</w:t>
            </w:r>
            <w:r>
              <w:t xml:space="preserve"> </w:t>
            </w:r>
            <w:r>
              <w:t xml:space="preserve">        </w:t>
            </w:r>
          </w:p>
          <w:p w:rsidR="00877A22" w:rsidRDefault="002E679D" w:rsidP="004B6D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E679D" w:rsidP="004B6D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1734</w:t>
            </w:r>
            <w:r>
              <w:t xml:space="preserve"> </w:t>
            </w:r>
            <w:r>
              <w:t xml:space="preserve">specifies that applicable facility repairs include the repair of any ancillary damage to furniture and fixtures and </w:t>
            </w:r>
            <w:r>
              <w:t xml:space="preserve">expands the purposes for which the net proceeds may be used to include the reimbursement of the district for an applicable repair or replacement </w:t>
            </w:r>
            <w:r>
              <w:t>and</w:t>
            </w:r>
            <w:r>
              <w:t xml:space="preserve"> any other purpose </w:t>
            </w:r>
            <w:r>
              <w:t xml:space="preserve">for which the district has </w:t>
            </w:r>
            <w:r>
              <w:t xml:space="preserve">written approval from the commissioner. The bill </w:t>
            </w:r>
            <w:r>
              <w:t>sets out requ</w:t>
            </w:r>
            <w:r>
              <w:t>irements for the</w:t>
            </w:r>
            <w:r>
              <w:t xml:space="preserve"> </w:t>
            </w:r>
            <w:r>
              <w:t xml:space="preserve">district's </w:t>
            </w:r>
            <w:r>
              <w:t xml:space="preserve">written notice </w:t>
            </w:r>
            <w:r>
              <w:t>to the commissioner</w:t>
            </w:r>
            <w:r>
              <w:t xml:space="preserve"> and provides for dismissal of the action without prejudice if the district fails to comply with those requirements.</w:t>
            </w:r>
            <w:r>
              <w:t xml:space="preserve"> </w:t>
            </w:r>
            <w:r>
              <w:t xml:space="preserve">Such dismissal extends the statute of limitations on the action for a period </w:t>
            </w:r>
            <w:r>
              <w:t xml:space="preserve">of 90 days. </w:t>
            </w:r>
            <w:r>
              <w:t xml:space="preserve">The bill </w:t>
            </w:r>
            <w:r>
              <w:t xml:space="preserve">requires the district to provide to the commissioner an itemized accounting of any repairs </w:t>
            </w:r>
            <w:r>
              <w:t xml:space="preserve">made </w:t>
            </w:r>
            <w:r>
              <w:t>to the facility</w:t>
            </w:r>
            <w:r>
              <w:t xml:space="preserve"> using the net proceeds from an action</w:t>
            </w:r>
            <w:r>
              <w:t>.</w:t>
            </w:r>
            <w:r>
              <w:t xml:space="preserve"> </w:t>
            </w:r>
          </w:p>
          <w:p w:rsidR="008C2057" w:rsidRDefault="002E679D" w:rsidP="004B6D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35738" w:rsidRDefault="002E679D" w:rsidP="004B6DF9">
            <w:pPr>
              <w:pStyle w:val="Header"/>
              <w:jc w:val="both"/>
            </w:pPr>
            <w:r>
              <w:t>C.S.</w:t>
            </w:r>
            <w:r>
              <w:t>H.B. 1734 authorizes the attorney general</w:t>
            </w:r>
            <w:r>
              <w:t xml:space="preserve"> to bring an action on behalf of the </w:t>
            </w:r>
            <w:r>
              <w:t xml:space="preserve">state to enjoin </w:t>
            </w:r>
            <w:r>
              <w:t xml:space="preserve">a </w:t>
            </w:r>
            <w:r>
              <w:t xml:space="preserve">district from violating </w:t>
            </w:r>
            <w:r>
              <w:t xml:space="preserve">provisions relating to </w:t>
            </w:r>
            <w:r>
              <w:t xml:space="preserve">the </w:t>
            </w:r>
            <w:r>
              <w:t xml:space="preserve">use of net proceeds, the itemized accounting requirements, or the state's share of net proceeds from an applicable action </w:t>
            </w:r>
            <w:r>
              <w:t xml:space="preserve">if the attorney general believes that a district has violated or </w:t>
            </w:r>
            <w:r>
              <w:t>is violating</w:t>
            </w:r>
            <w:r>
              <w:t xml:space="preserve"> those provisions and sets out provisions authorizing certain appropriate relief</w:t>
            </w:r>
            <w:r>
              <w:t>.</w:t>
            </w:r>
            <w:r>
              <w:t xml:space="preserve"> </w:t>
            </w:r>
            <w:r>
              <w:t xml:space="preserve">   </w:t>
            </w:r>
          </w:p>
          <w:p w:rsidR="00235738" w:rsidRDefault="002E679D" w:rsidP="004B6DF9">
            <w:pPr>
              <w:pStyle w:val="Header"/>
              <w:jc w:val="both"/>
            </w:pPr>
          </w:p>
          <w:p w:rsidR="008C2057" w:rsidRDefault="002E679D" w:rsidP="004B6DF9">
            <w:pPr>
              <w:pStyle w:val="Header"/>
              <w:jc w:val="both"/>
            </w:pPr>
            <w:r>
              <w:t>C.S.</w:t>
            </w:r>
            <w:r>
              <w:t>H.B. 1734</w:t>
            </w:r>
            <w:r>
              <w:t xml:space="preserve"> requires the attorney general, not later than December 1 of each year, to submit to the governor, the lieutenant governor, the members of </w:t>
            </w:r>
            <w:r>
              <w:t xml:space="preserve">the </w:t>
            </w:r>
            <w:r>
              <w:t>l</w:t>
            </w:r>
            <w:r>
              <w:t xml:space="preserve">egislature, and the commissioner a report </w:t>
            </w:r>
            <w:r w:rsidRPr="00EB4D20">
              <w:t xml:space="preserve">on any </w:t>
            </w:r>
            <w:r>
              <w:t xml:space="preserve">such </w:t>
            </w:r>
            <w:r w:rsidRPr="00EB4D20">
              <w:t xml:space="preserve">actions brought </w:t>
            </w:r>
            <w:r>
              <w:t>by the attorney general</w:t>
            </w:r>
            <w:r>
              <w:t xml:space="preserve"> </w:t>
            </w:r>
            <w:r w:rsidRPr="00EB4D20">
              <w:t>during the preceding year</w:t>
            </w:r>
            <w:r>
              <w:t xml:space="preserve"> and sets out the </w:t>
            </w:r>
            <w:r>
              <w:t>information</w:t>
            </w:r>
            <w:r>
              <w:t>, for each action,</w:t>
            </w:r>
            <w:r>
              <w:t xml:space="preserve"> </w:t>
            </w:r>
            <w:r>
              <w:t xml:space="preserve">required </w:t>
            </w:r>
            <w:r>
              <w:t xml:space="preserve">to be included </w:t>
            </w:r>
            <w:r>
              <w:t>in the report</w:t>
            </w:r>
            <w:r>
              <w:t xml:space="preserve">.         </w:t>
            </w:r>
          </w:p>
          <w:p w:rsidR="00875BE1" w:rsidRPr="00624ACA" w:rsidRDefault="002E679D" w:rsidP="004B6DF9">
            <w:pPr>
              <w:pStyle w:val="Header"/>
              <w:jc w:val="both"/>
            </w:pPr>
          </w:p>
        </w:tc>
      </w:tr>
      <w:tr w:rsidR="003B0286" w:rsidTr="00345119">
        <w:tc>
          <w:tcPr>
            <w:tcW w:w="9576" w:type="dxa"/>
          </w:tcPr>
          <w:p w:rsidR="008423E4" w:rsidRPr="00A8133F" w:rsidRDefault="002E679D" w:rsidP="004B6D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679D" w:rsidP="004B6DF9"/>
          <w:p w:rsidR="008423E4" w:rsidRPr="003624F2" w:rsidRDefault="002E679D" w:rsidP="004B6D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E679D" w:rsidP="004B6DF9">
            <w:pPr>
              <w:rPr>
                <w:b/>
              </w:rPr>
            </w:pPr>
          </w:p>
        </w:tc>
      </w:tr>
      <w:tr w:rsidR="003B0286" w:rsidTr="00345119">
        <w:tc>
          <w:tcPr>
            <w:tcW w:w="9576" w:type="dxa"/>
          </w:tcPr>
          <w:p w:rsidR="0036000F" w:rsidRDefault="002E679D" w:rsidP="004B6DF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63D88" w:rsidRDefault="002E679D" w:rsidP="004B6DF9">
            <w:pPr>
              <w:jc w:val="both"/>
            </w:pPr>
          </w:p>
          <w:p w:rsidR="00A63D88" w:rsidRDefault="002E679D" w:rsidP="004B6DF9">
            <w:pPr>
              <w:jc w:val="both"/>
            </w:pPr>
            <w:r>
              <w:t>While C.S.H.B. 1734 may differ from the original in minor or nonsubstantive ways, the following summarizes the substantial differences between the introduced and committee substitute versions of the bill.</w:t>
            </w:r>
          </w:p>
          <w:p w:rsidR="00A63D88" w:rsidRDefault="002E679D" w:rsidP="004B6DF9">
            <w:pPr>
              <w:jc w:val="both"/>
            </w:pPr>
          </w:p>
          <w:p w:rsidR="00A63D88" w:rsidRDefault="002E679D" w:rsidP="004B6DF9">
            <w:pPr>
              <w:jc w:val="both"/>
            </w:pPr>
            <w:r>
              <w:t>The substit</w:t>
            </w:r>
            <w:r>
              <w:t xml:space="preserve">ute changes the deadline by which a district that brings an </w:t>
            </w:r>
            <w:r>
              <w:t xml:space="preserve">applicable </w:t>
            </w:r>
            <w:r>
              <w:t xml:space="preserve">action must provide the commissioner with written notice </w:t>
            </w:r>
            <w:r>
              <w:t>from the 10th day after the date the action is filed to the 30th day after that filing date</w:t>
            </w:r>
            <w:r>
              <w:t>.</w:t>
            </w:r>
            <w:r>
              <w:t xml:space="preserve"> </w:t>
            </w:r>
          </w:p>
          <w:p w:rsidR="00A63D88" w:rsidRDefault="002E679D" w:rsidP="004B6DF9">
            <w:pPr>
              <w:jc w:val="both"/>
            </w:pPr>
          </w:p>
          <w:p w:rsidR="00A63D88" w:rsidRDefault="002E679D" w:rsidP="004B6DF9">
            <w:pPr>
              <w:jc w:val="both"/>
            </w:pPr>
            <w:r>
              <w:t xml:space="preserve">The substitute includes </w:t>
            </w:r>
            <w:r>
              <w:t>specifica</w:t>
            </w:r>
            <w:r>
              <w:t>tion</w:t>
            </w:r>
            <w:r>
              <w:t>s</w:t>
            </w:r>
            <w:r>
              <w:t xml:space="preserve"> that the dismissal of </w:t>
            </w:r>
            <w:r>
              <w:t>an applicable</w:t>
            </w:r>
            <w:r>
              <w:t xml:space="preserve"> action on the grounds of the district's failure to comply with the notice requirements is without prejudice and </w:t>
            </w:r>
            <w:r>
              <w:t>that such a dismissal</w:t>
            </w:r>
            <w:r>
              <w:t xml:space="preserve"> </w:t>
            </w:r>
            <w:r>
              <w:t xml:space="preserve">extends </w:t>
            </w:r>
            <w:r>
              <w:t xml:space="preserve">the statute of limitations on </w:t>
            </w:r>
            <w:r>
              <w:t>the</w:t>
            </w:r>
            <w:r>
              <w:t xml:space="preserve"> action </w:t>
            </w:r>
            <w:r>
              <w:t xml:space="preserve">for </w:t>
            </w:r>
            <w:r>
              <w:t xml:space="preserve">a period of </w:t>
            </w:r>
            <w:r>
              <w:t>90 days</w:t>
            </w:r>
            <w:r>
              <w:t>.</w:t>
            </w:r>
          </w:p>
          <w:p w:rsidR="00A63D88" w:rsidRDefault="002E679D" w:rsidP="004B6DF9">
            <w:pPr>
              <w:jc w:val="both"/>
            </w:pPr>
          </w:p>
          <w:p w:rsidR="003D2D46" w:rsidRDefault="002E679D" w:rsidP="004B6DF9">
            <w:pPr>
              <w:jc w:val="both"/>
            </w:pPr>
            <w:r>
              <w:t>The s</w:t>
            </w:r>
            <w:r>
              <w:t xml:space="preserve">ubstitute includes </w:t>
            </w:r>
            <w:r>
              <w:t xml:space="preserve">the following as </w:t>
            </w:r>
            <w:r>
              <w:t xml:space="preserve">additional </w:t>
            </w:r>
            <w:r>
              <w:t>purposes for which</w:t>
            </w:r>
            <w:r>
              <w:t xml:space="preserve"> the net proceeds from an applicable action </w:t>
            </w:r>
            <w:r>
              <w:t>may be used</w:t>
            </w:r>
            <w:r>
              <w:t xml:space="preserve">: the repair of any ancillary damage to </w:t>
            </w:r>
            <w:r>
              <w:t>furniture</w:t>
            </w:r>
            <w:r>
              <w:t xml:space="preserve"> and fixtures, the reimbursement of the district for a repair or replacement</w:t>
            </w:r>
            <w:r>
              <w:t>,</w:t>
            </w:r>
            <w:r>
              <w:t xml:space="preserve"> and any other purpose </w:t>
            </w:r>
            <w:r>
              <w:t>for which the district has</w:t>
            </w:r>
            <w:r>
              <w:t xml:space="preserve"> written commissioner approval.</w:t>
            </w:r>
          </w:p>
          <w:p w:rsidR="003D2D46" w:rsidRDefault="002E679D" w:rsidP="004B6DF9">
            <w:pPr>
              <w:jc w:val="both"/>
            </w:pPr>
          </w:p>
          <w:p w:rsidR="00EE4529" w:rsidRDefault="002E679D" w:rsidP="004B6DF9">
            <w:pPr>
              <w:jc w:val="both"/>
            </w:pPr>
            <w:r>
              <w:t xml:space="preserve">The substitute </w:t>
            </w:r>
            <w:r>
              <w:t xml:space="preserve">makes the provision authorizing the commissioner to join in an action on behalf of the state applicable only to an action involving an instructional </w:t>
            </w:r>
            <w:r w:rsidRPr="00241394">
              <w:t>facility f</w:t>
            </w:r>
            <w:r w:rsidRPr="00241394">
              <w:t>or which a district receives state assistance under the instructional facilities allotment</w:t>
            </w:r>
            <w:r>
              <w:t xml:space="preserve">, </w:t>
            </w:r>
            <w:r>
              <w:t xml:space="preserve">as was the case before amendment by the </w:t>
            </w:r>
            <w:r>
              <w:t>original</w:t>
            </w:r>
            <w:r>
              <w:t>.</w:t>
            </w:r>
          </w:p>
          <w:p w:rsidR="00842D04" w:rsidRDefault="002E679D" w:rsidP="004B6DF9">
            <w:pPr>
              <w:jc w:val="both"/>
            </w:pPr>
          </w:p>
          <w:p w:rsidR="00A63D88" w:rsidRPr="00A63D88" w:rsidRDefault="002E679D" w:rsidP="004B6DF9">
            <w:pPr>
              <w:jc w:val="both"/>
            </w:pPr>
            <w:r>
              <w:t xml:space="preserve">The substitute </w:t>
            </w:r>
            <w:r>
              <w:t xml:space="preserve">lowers </w:t>
            </w:r>
            <w:r>
              <w:t xml:space="preserve">the cap on the civil penalty </w:t>
            </w:r>
            <w:r>
              <w:t xml:space="preserve">that may be ordered in </w:t>
            </w:r>
            <w:r>
              <w:t>an</w:t>
            </w:r>
            <w:r>
              <w:t xml:space="preserve"> action</w:t>
            </w:r>
            <w:r>
              <w:t xml:space="preserve"> brought by the attorney gener</w:t>
            </w:r>
            <w:r>
              <w:t>al against a district for certain violations from $50,000 to $20,000</w:t>
            </w:r>
            <w:r>
              <w:t>.</w:t>
            </w:r>
          </w:p>
        </w:tc>
      </w:tr>
      <w:tr w:rsidR="003B0286" w:rsidTr="00345119">
        <w:tc>
          <w:tcPr>
            <w:tcW w:w="9576" w:type="dxa"/>
          </w:tcPr>
          <w:p w:rsidR="0036000F" w:rsidRPr="009C1E9A" w:rsidRDefault="002E679D" w:rsidP="004B6DF9">
            <w:pPr>
              <w:rPr>
                <w:b/>
                <w:u w:val="single"/>
              </w:rPr>
            </w:pPr>
          </w:p>
        </w:tc>
      </w:tr>
      <w:tr w:rsidR="003B0286" w:rsidTr="00345119">
        <w:tc>
          <w:tcPr>
            <w:tcW w:w="9576" w:type="dxa"/>
          </w:tcPr>
          <w:p w:rsidR="0036000F" w:rsidRPr="0036000F" w:rsidRDefault="002E679D" w:rsidP="004B6DF9">
            <w:pPr>
              <w:jc w:val="both"/>
            </w:pPr>
          </w:p>
        </w:tc>
      </w:tr>
    </w:tbl>
    <w:p w:rsidR="008423E4" w:rsidRPr="00BE0E75" w:rsidRDefault="002E67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679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679D">
      <w:r>
        <w:separator/>
      </w:r>
    </w:p>
  </w:endnote>
  <w:endnote w:type="continuationSeparator" w:id="0">
    <w:p w:rsidR="00000000" w:rsidRDefault="002E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0286" w:rsidTr="009C1E9A">
      <w:trPr>
        <w:cantSplit/>
      </w:trPr>
      <w:tc>
        <w:tcPr>
          <w:tcW w:w="0" w:type="pct"/>
        </w:tcPr>
        <w:p w:rsidR="00137D90" w:rsidRDefault="002E67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67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67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67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6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0286" w:rsidTr="009C1E9A">
      <w:trPr>
        <w:cantSplit/>
      </w:trPr>
      <w:tc>
        <w:tcPr>
          <w:tcW w:w="0" w:type="pct"/>
        </w:tcPr>
        <w:p w:rsidR="00EC379B" w:rsidRDefault="002E67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67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22359</w:t>
          </w:r>
        </w:p>
      </w:tc>
      <w:tc>
        <w:tcPr>
          <w:tcW w:w="2453" w:type="pct"/>
        </w:tcPr>
        <w:p w:rsidR="00EC379B" w:rsidRDefault="002E6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19.86.831</w:t>
          </w:r>
          <w:r>
            <w:fldChar w:fldCharType="end"/>
          </w:r>
        </w:p>
      </w:tc>
    </w:tr>
    <w:tr w:rsidR="003B0286" w:rsidTr="009C1E9A">
      <w:trPr>
        <w:cantSplit/>
      </w:trPr>
      <w:tc>
        <w:tcPr>
          <w:tcW w:w="0" w:type="pct"/>
        </w:tcPr>
        <w:p w:rsidR="00EC379B" w:rsidRDefault="002E67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67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20602</w:t>
          </w:r>
        </w:p>
      </w:tc>
      <w:tc>
        <w:tcPr>
          <w:tcW w:w="2453" w:type="pct"/>
        </w:tcPr>
        <w:p w:rsidR="00EC379B" w:rsidRDefault="002E679D" w:rsidP="006D504F">
          <w:pPr>
            <w:pStyle w:val="Footer"/>
            <w:rPr>
              <w:rStyle w:val="PageNumber"/>
            </w:rPr>
          </w:pPr>
        </w:p>
        <w:p w:rsidR="00EC379B" w:rsidRDefault="002E67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02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67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67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67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679D">
      <w:r>
        <w:separator/>
      </w:r>
    </w:p>
  </w:footnote>
  <w:footnote w:type="continuationSeparator" w:id="0">
    <w:p w:rsidR="00000000" w:rsidRDefault="002E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6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5CB"/>
    <w:multiLevelType w:val="hybridMultilevel"/>
    <w:tmpl w:val="6D4A4B0C"/>
    <w:lvl w:ilvl="0" w:tplc="29AC2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C8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CA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4B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6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E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68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4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C7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35CE"/>
    <w:multiLevelType w:val="hybridMultilevel"/>
    <w:tmpl w:val="BEE036EA"/>
    <w:lvl w:ilvl="0" w:tplc="CD4C9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00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47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CC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E0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E3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40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9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83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6"/>
    <w:rsid w:val="002E679D"/>
    <w:rsid w:val="003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52C807-D56C-482D-B811-5434D80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4D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4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4D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4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4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4243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HB01734 (Committee Report (Substituted))</vt:lpstr>
    </vt:vector>
  </TitlesOfParts>
  <Company>State of Texas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22359</dc:subject>
  <dc:creator>State of Texas</dc:creator>
  <dc:description>HB 1734 by Holland-(H)Judiciary &amp; Civil Jurisprudence (Substitute Document Number: 86R 20602)</dc:description>
  <cp:lastModifiedBy>Stacey Nicchio</cp:lastModifiedBy>
  <cp:revision>2</cp:revision>
  <cp:lastPrinted>2019-02-13T22:06:00Z</cp:lastPrinted>
  <dcterms:created xsi:type="dcterms:W3CDTF">2019-04-12T00:36:00Z</dcterms:created>
  <dcterms:modified xsi:type="dcterms:W3CDTF">2019-04-12T00:36:00Z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19.86.831</vt:lpwstr>
  </property>
</Properties>
</file>