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87934" w:rsidTr="00345119">
        <w:tc>
          <w:tcPr>
            <w:tcW w:w="9576" w:type="dxa"/>
            <w:noWrap/>
          </w:tcPr>
          <w:p w:rsidR="008423E4" w:rsidRPr="0022177D" w:rsidRDefault="00F3386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33861" w:rsidP="008423E4">
      <w:pPr>
        <w:jc w:val="center"/>
      </w:pPr>
    </w:p>
    <w:p w:rsidR="008423E4" w:rsidRPr="00B31F0E" w:rsidRDefault="00F33861" w:rsidP="008423E4"/>
    <w:p w:rsidR="008423E4" w:rsidRPr="00742794" w:rsidRDefault="00F3386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87934" w:rsidTr="00345119">
        <w:tc>
          <w:tcPr>
            <w:tcW w:w="9576" w:type="dxa"/>
          </w:tcPr>
          <w:p w:rsidR="008423E4" w:rsidRPr="00861995" w:rsidRDefault="00F33861" w:rsidP="00345119">
            <w:pPr>
              <w:jc w:val="right"/>
            </w:pPr>
            <w:r>
              <w:t>H.B. 1782</w:t>
            </w:r>
          </w:p>
        </w:tc>
      </w:tr>
      <w:tr w:rsidR="00387934" w:rsidTr="00345119">
        <w:tc>
          <w:tcPr>
            <w:tcW w:w="9576" w:type="dxa"/>
          </w:tcPr>
          <w:p w:rsidR="008423E4" w:rsidRPr="00861995" w:rsidRDefault="00F33861" w:rsidP="002C5B2C">
            <w:pPr>
              <w:jc w:val="right"/>
            </w:pPr>
            <w:r>
              <w:t xml:space="preserve">By: </w:t>
            </w:r>
            <w:r>
              <w:t>Cortez</w:t>
            </w:r>
          </w:p>
        </w:tc>
      </w:tr>
      <w:tr w:rsidR="00387934" w:rsidTr="00345119">
        <w:tc>
          <w:tcPr>
            <w:tcW w:w="9576" w:type="dxa"/>
          </w:tcPr>
          <w:p w:rsidR="008423E4" w:rsidRPr="00861995" w:rsidRDefault="00F33861" w:rsidP="00345119">
            <w:pPr>
              <w:jc w:val="right"/>
            </w:pPr>
            <w:r>
              <w:t>Public Health</w:t>
            </w:r>
          </w:p>
        </w:tc>
      </w:tr>
      <w:tr w:rsidR="00387934" w:rsidTr="00345119">
        <w:tc>
          <w:tcPr>
            <w:tcW w:w="9576" w:type="dxa"/>
          </w:tcPr>
          <w:p w:rsidR="008423E4" w:rsidRDefault="00F3386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33861" w:rsidP="008423E4">
      <w:pPr>
        <w:tabs>
          <w:tab w:val="right" w:pos="9360"/>
        </w:tabs>
      </w:pPr>
    </w:p>
    <w:p w:rsidR="008423E4" w:rsidRDefault="00F33861" w:rsidP="008423E4"/>
    <w:p w:rsidR="008423E4" w:rsidRDefault="00F3386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87934" w:rsidTr="00345119">
        <w:tc>
          <w:tcPr>
            <w:tcW w:w="9576" w:type="dxa"/>
          </w:tcPr>
          <w:p w:rsidR="008423E4" w:rsidRPr="00A8133F" w:rsidRDefault="00F33861" w:rsidP="002D41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Pr="00AD4F17" w:rsidRDefault="00F33861" w:rsidP="002D41EA">
            <w:pPr>
              <w:rPr>
                <w:sz w:val="22"/>
              </w:rPr>
            </w:pPr>
          </w:p>
          <w:p w:rsidR="008423E4" w:rsidRDefault="00F33861" w:rsidP="002D41EA">
            <w:pPr>
              <w:pStyle w:val="Header"/>
              <w:jc w:val="both"/>
            </w:pPr>
            <w:r>
              <w:t>It has been suggested that</w:t>
            </w:r>
            <w:r>
              <w:t xml:space="preserve">, in the aggregate, the </w:t>
            </w:r>
            <w:r>
              <w:t xml:space="preserve">lack </w:t>
            </w:r>
            <w:r>
              <w:t>of access to medical care</w:t>
            </w:r>
            <w:r>
              <w:t xml:space="preserve"> in certain areas</w:t>
            </w:r>
            <w:r>
              <w:t xml:space="preserve">, </w:t>
            </w:r>
            <w:r>
              <w:t xml:space="preserve">the </w:t>
            </w:r>
            <w:r>
              <w:t>d</w:t>
            </w:r>
            <w:r>
              <w:t xml:space="preserve">ecreased mobility of the senior population, </w:t>
            </w:r>
            <w:r>
              <w:t>the</w:t>
            </w:r>
            <w:r>
              <w:t xml:space="preserve"> need for </w:t>
            </w:r>
            <w:r>
              <w:t>affordable health</w:t>
            </w:r>
            <w:r>
              <w:t xml:space="preserve"> </w:t>
            </w:r>
            <w:r>
              <w:t xml:space="preserve">care, and </w:t>
            </w:r>
            <w:r>
              <w:t xml:space="preserve">unmet transportation needs emphasize </w:t>
            </w:r>
            <w:r>
              <w:t>a</w:t>
            </w:r>
            <w:r>
              <w:t xml:space="preserve"> </w:t>
            </w:r>
            <w:r>
              <w:t>critical need to expand the use of and increase access to telemedicine medical services, telehealth services, and related mobile app</w:t>
            </w:r>
            <w:r>
              <w:t xml:space="preserve">lications for those services. </w:t>
            </w:r>
            <w:r>
              <w:t>H.B. 1782 seeks to address this issue by requiring</w:t>
            </w:r>
            <w:r w:rsidRPr="00B659DF">
              <w:t xml:space="preserve"> the Health and Human Services Commission to develop and implement an action plan to </w:t>
            </w:r>
            <w:r>
              <w:t>increase the</w:t>
            </w:r>
            <w:r w:rsidRPr="00B659DF">
              <w:t xml:space="preserve"> use of telemedicine medical services</w:t>
            </w:r>
            <w:r>
              <w:t xml:space="preserve"> and</w:t>
            </w:r>
            <w:r w:rsidRPr="00B659DF">
              <w:t xml:space="preserve"> telehealth services</w:t>
            </w:r>
            <w:r>
              <w:t>.</w:t>
            </w:r>
          </w:p>
          <w:p w:rsidR="008423E4" w:rsidRPr="00E26B13" w:rsidRDefault="00F33861" w:rsidP="002D41EA">
            <w:pPr>
              <w:rPr>
                <w:b/>
              </w:rPr>
            </w:pPr>
          </w:p>
        </w:tc>
      </w:tr>
      <w:tr w:rsidR="00387934" w:rsidTr="00345119">
        <w:tc>
          <w:tcPr>
            <w:tcW w:w="9576" w:type="dxa"/>
          </w:tcPr>
          <w:p w:rsidR="0017725B" w:rsidRDefault="00F33861" w:rsidP="002D41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</w:t>
            </w:r>
            <w:r>
              <w:rPr>
                <w:b/>
                <w:u w:val="single"/>
              </w:rPr>
              <w:t>CE IMPACT</w:t>
            </w:r>
          </w:p>
          <w:p w:rsidR="0017725B" w:rsidRPr="00AD4F17" w:rsidRDefault="00F33861" w:rsidP="002D41EA">
            <w:pPr>
              <w:rPr>
                <w:b/>
                <w:sz w:val="22"/>
                <w:u w:val="single"/>
              </w:rPr>
            </w:pPr>
          </w:p>
          <w:p w:rsidR="00F72247" w:rsidRPr="00F72247" w:rsidRDefault="00F33861" w:rsidP="002D41E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</w:t>
            </w:r>
            <w:r>
              <w:t xml:space="preserve"> or mandatory supervision.</w:t>
            </w:r>
          </w:p>
          <w:p w:rsidR="0017725B" w:rsidRPr="0017725B" w:rsidRDefault="00F33861" w:rsidP="002D41EA">
            <w:pPr>
              <w:rPr>
                <w:b/>
                <w:u w:val="single"/>
              </w:rPr>
            </w:pPr>
          </w:p>
        </w:tc>
      </w:tr>
      <w:tr w:rsidR="00387934" w:rsidTr="00345119">
        <w:tc>
          <w:tcPr>
            <w:tcW w:w="9576" w:type="dxa"/>
          </w:tcPr>
          <w:p w:rsidR="008423E4" w:rsidRPr="00A8133F" w:rsidRDefault="00F33861" w:rsidP="002D41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Pr="00AD4F17" w:rsidRDefault="00F33861" w:rsidP="002D41EA">
            <w:pPr>
              <w:rPr>
                <w:sz w:val="22"/>
              </w:rPr>
            </w:pPr>
          </w:p>
          <w:p w:rsidR="00F72247" w:rsidRDefault="00F33861" w:rsidP="002D41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F33861" w:rsidP="002D41EA">
            <w:pPr>
              <w:rPr>
                <w:b/>
              </w:rPr>
            </w:pPr>
          </w:p>
        </w:tc>
      </w:tr>
      <w:tr w:rsidR="00387934" w:rsidTr="00345119">
        <w:tc>
          <w:tcPr>
            <w:tcW w:w="9576" w:type="dxa"/>
          </w:tcPr>
          <w:p w:rsidR="008423E4" w:rsidRPr="00A8133F" w:rsidRDefault="00F33861" w:rsidP="002D41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Pr="00AD4F17" w:rsidRDefault="00F33861" w:rsidP="002D41EA">
            <w:pPr>
              <w:rPr>
                <w:sz w:val="22"/>
              </w:rPr>
            </w:pPr>
          </w:p>
          <w:p w:rsidR="004A70BE" w:rsidRDefault="00F33861" w:rsidP="002D41EA">
            <w:pPr>
              <w:pStyle w:val="Header"/>
              <w:jc w:val="both"/>
            </w:pPr>
            <w:r>
              <w:t xml:space="preserve">H.B. 1782 amends the Government Code to require the Health and Human Services Commission (HHSC) to develop </w:t>
            </w:r>
            <w:r>
              <w:t>and implement an acti</w:t>
            </w:r>
            <w:r>
              <w:t>on plan to expand the use of and increase access to telemedicine medical services, telehealth services, and related mobile appli</w:t>
            </w:r>
            <w:r>
              <w:t xml:space="preserve">cations for those services by health care providers for the residents of </w:t>
            </w:r>
            <w:r>
              <w:t>Texas</w:t>
            </w:r>
            <w:r>
              <w:t xml:space="preserve"> and</w:t>
            </w:r>
            <w:r>
              <w:t xml:space="preserve"> increase the availability of critical medical care and health care services to residents in </w:t>
            </w:r>
            <w:r>
              <w:t>Texas</w:t>
            </w:r>
            <w:r>
              <w:t xml:space="preserve"> in areas determined by </w:t>
            </w:r>
            <w:r>
              <w:t>HHSC</w:t>
            </w:r>
            <w:r>
              <w:t xml:space="preserve"> to be medically underserved, including the bord</w:t>
            </w:r>
            <w:r>
              <w:t>er region and rural areas</w:t>
            </w:r>
            <w:r>
              <w:t xml:space="preserve">. </w:t>
            </w:r>
          </w:p>
          <w:p w:rsidR="004A70BE" w:rsidRPr="00AD4F17" w:rsidRDefault="00F33861" w:rsidP="002D41EA">
            <w:pPr>
              <w:pStyle w:val="Header"/>
              <w:jc w:val="both"/>
              <w:rPr>
                <w:sz w:val="22"/>
              </w:rPr>
            </w:pPr>
          </w:p>
          <w:p w:rsidR="00AC52D5" w:rsidRDefault="00F33861" w:rsidP="002D41EA">
            <w:pPr>
              <w:pStyle w:val="Header"/>
              <w:jc w:val="both"/>
            </w:pPr>
            <w:r>
              <w:t>H.B. 1782</w:t>
            </w:r>
            <w:r>
              <w:t xml:space="preserve"> requires HHSC,</w:t>
            </w:r>
            <w:r>
              <w:t xml:space="preserve"> in devel</w:t>
            </w:r>
            <w:r>
              <w:t>oping and implementing the plan</w:t>
            </w:r>
            <w:r>
              <w:t>,</w:t>
            </w:r>
            <w:r>
              <w:t xml:space="preserve"> to seek the assistance of the Texas Hospital Association, the Texas Medical Association, teaching hospitals, and the statewide health coordinating council and </w:t>
            </w:r>
            <w:r>
              <w:t>to</w:t>
            </w:r>
            <w:r>
              <w:t xml:space="preserve"> </w:t>
            </w:r>
            <w:r>
              <w:t xml:space="preserve">consult with health care providers, advocacy groups, relevant federal agencies, and any other interested persons </w:t>
            </w:r>
            <w:r>
              <w:t>HHSC</w:t>
            </w:r>
            <w:r>
              <w:t xml:space="preserve"> considers necessary to develop the plan. </w:t>
            </w:r>
          </w:p>
          <w:p w:rsidR="00AC52D5" w:rsidRPr="00AD4F17" w:rsidRDefault="00F33861" w:rsidP="002D41EA">
            <w:pPr>
              <w:pStyle w:val="Header"/>
              <w:jc w:val="both"/>
              <w:rPr>
                <w:sz w:val="22"/>
              </w:rPr>
            </w:pPr>
          </w:p>
          <w:p w:rsidR="004A70BE" w:rsidRDefault="00F33861" w:rsidP="002D41EA">
            <w:pPr>
              <w:pStyle w:val="Header"/>
              <w:jc w:val="both"/>
            </w:pPr>
            <w:r>
              <w:t xml:space="preserve">H.B. 1782 </w:t>
            </w:r>
            <w:r>
              <w:t xml:space="preserve">requires </w:t>
            </w:r>
            <w:r>
              <w:t xml:space="preserve">the plan </w:t>
            </w:r>
            <w:r>
              <w:t xml:space="preserve">to include </w:t>
            </w:r>
            <w:r w:rsidRPr="00A5331A">
              <w:t>short-term and long-term plan recommendations, includin</w:t>
            </w:r>
            <w:r w:rsidRPr="00A5331A">
              <w:t>g policy initiatives and reforms necessary to implement the plan</w:t>
            </w:r>
            <w:r>
              <w:t>,</w:t>
            </w:r>
            <w:r w:rsidRPr="00A5331A">
              <w:t xml:space="preserve"> </w:t>
            </w:r>
            <w:r w:rsidRPr="00A5331A">
              <w:t>statutory and administrative reforms necessary to implement the plan</w:t>
            </w:r>
            <w:r>
              <w:t>,</w:t>
            </w:r>
            <w:r w:rsidRPr="00A5331A">
              <w:t xml:space="preserve"> </w:t>
            </w:r>
            <w:r w:rsidRPr="00A5331A">
              <w:t>and options for the funding necessary to implement the plan</w:t>
            </w:r>
            <w:r>
              <w:t>.</w:t>
            </w:r>
          </w:p>
          <w:p w:rsidR="004A70BE" w:rsidRPr="00AD4F17" w:rsidRDefault="00F33861" w:rsidP="002D41EA">
            <w:pPr>
              <w:pStyle w:val="Header"/>
              <w:jc w:val="both"/>
              <w:rPr>
                <w:sz w:val="22"/>
              </w:rPr>
            </w:pPr>
          </w:p>
          <w:p w:rsidR="00F82B28" w:rsidRDefault="00F33861" w:rsidP="002D41EA">
            <w:pPr>
              <w:pStyle w:val="Header"/>
              <w:jc w:val="both"/>
            </w:pPr>
            <w:r>
              <w:t xml:space="preserve">H.B. 1782 </w:t>
            </w:r>
            <w:r>
              <w:t>requires HHSC</w:t>
            </w:r>
            <w:r>
              <w:t xml:space="preserve"> to take the following actions:</w:t>
            </w:r>
          </w:p>
          <w:p w:rsidR="00602AEE" w:rsidRDefault="00F33861" w:rsidP="002D41EA">
            <w:pPr>
              <w:pStyle w:val="Header"/>
              <w:numPr>
                <w:ilvl w:val="0"/>
                <w:numId w:val="1"/>
              </w:numPr>
              <w:spacing w:before="120"/>
              <w:jc w:val="both"/>
            </w:pPr>
            <w:r>
              <w:t>submit to the governor and the legislature</w:t>
            </w:r>
            <w:r>
              <w:t xml:space="preserve"> not later than September 1, 2021,</w:t>
            </w:r>
            <w:r>
              <w:t xml:space="preserve"> the recommendations, the statutory and administrative reforms, and the funding options</w:t>
            </w:r>
            <w:r>
              <w:t xml:space="preserve"> described by the bill and the</w:t>
            </w:r>
            <w:r>
              <w:t xml:space="preserve"> </w:t>
            </w:r>
            <w:r>
              <w:t xml:space="preserve">short-term and long-term plans </w:t>
            </w:r>
            <w:r>
              <w:t>to implement th</w:t>
            </w:r>
            <w:r>
              <w:t>os</w:t>
            </w:r>
            <w:r>
              <w:t>e recommendati</w:t>
            </w:r>
            <w:r>
              <w:t>ons, reforms, and options;</w:t>
            </w:r>
          </w:p>
          <w:p w:rsidR="00754E71" w:rsidRDefault="00F33861" w:rsidP="002D41EA">
            <w:pPr>
              <w:pStyle w:val="Header"/>
              <w:numPr>
                <w:ilvl w:val="0"/>
                <w:numId w:val="5"/>
              </w:numPr>
              <w:spacing w:before="120" w:after="120"/>
              <w:jc w:val="both"/>
            </w:pPr>
            <w:r>
              <w:t xml:space="preserve">begin implementing the short-term plan not later than September 1, 2021, and </w:t>
            </w:r>
            <w:r>
              <w:t>fully implement the short-term plan n</w:t>
            </w:r>
            <w:r>
              <w:t>ot later than September 1, 2023;</w:t>
            </w:r>
          </w:p>
          <w:p w:rsidR="00602AEE" w:rsidRDefault="00F33861" w:rsidP="002D41EA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>fully implement the long-term plan n</w:t>
            </w:r>
            <w:r>
              <w:t>ot later than September 1, 2029;</w:t>
            </w:r>
            <w:r>
              <w:t xml:space="preserve"> and</w:t>
            </w:r>
          </w:p>
          <w:p w:rsidR="00602AEE" w:rsidRDefault="00F33861" w:rsidP="002D41EA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 xml:space="preserve">include the short-term and long-term plans in the update of the </w:t>
            </w:r>
            <w:r>
              <w:t xml:space="preserve">coordinated, six-year </w:t>
            </w:r>
            <w:r>
              <w:t xml:space="preserve">strategic plan for health and human services. </w:t>
            </w:r>
          </w:p>
          <w:p w:rsidR="008423E4" w:rsidRDefault="00F33861" w:rsidP="002D41EA">
            <w:pPr>
              <w:pStyle w:val="Header"/>
              <w:jc w:val="both"/>
            </w:pPr>
            <w:r>
              <w:t>The action plan expires</w:t>
            </w:r>
            <w:r>
              <w:t xml:space="preserve"> September 1, 2030.</w:t>
            </w:r>
          </w:p>
          <w:p w:rsidR="008423E4" w:rsidRPr="00835628" w:rsidRDefault="00F33861" w:rsidP="002D41EA">
            <w:pPr>
              <w:rPr>
                <w:b/>
              </w:rPr>
            </w:pPr>
          </w:p>
        </w:tc>
      </w:tr>
      <w:tr w:rsidR="00387934" w:rsidTr="00345119">
        <w:tc>
          <w:tcPr>
            <w:tcW w:w="9576" w:type="dxa"/>
          </w:tcPr>
          <w:p w:rsidR="008423E4" w:rsidRPr="00A8133F" w:rsidRDefault="00F33861" w:rsidP="002D41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33861" w:rsidP="002D41EA"/>
          <w:p w:rsidR="008423E4" w:rsidRPr="00233FDB" w:rsidRDefault="00F33861" w:rsidP="002D41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</w:tc>
      </w:tr>
    </w:tbl>
    <w:p w:rsidR="004108C3" w:rsidRPr="008423E4" w:rsidRDefault="00F33861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3861">
      <w:r>
        <w:separator/>
      </w:r>
    </w:p>
  </w:endnote>
  <w:endnote w:type="continuationSeparator" w:id="0">
    <w:p w:rsidR="00000000" w:rsidRDefault="00F3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87934" w:rsidTr="009C1E9A">
      <w:trPr>
        <w:cantSplit/>
      </w:trPr>
      <w:tc>
        <w:tcPr>
          <w:tcW w:w="0" w:type="pct"/>
        </w:tcPr>
        <w:p w:rsidR="00137D90" w:rsidRDefault="00F3386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3386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3386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3386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3386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7934" w:rsidTr="009C1E9A">
      <w:trPr>
        <w:cantSplit/>
      </w:trPr>
      <w:tc>
        <w:tcPr>
          <w:tcW w:w="0" w:type="pct"/>
        </w:tcPr>
        <w:p w:rsidR="00EC379B" w:rsidRDefault="00F3386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3386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27397</w:t>
          </w:r>
        </w:p>
      </w:tc>
      <w:tc>
        <w:tcPr>
          <w:tcW w:w="2453" w:type="pct"/>
        </w:tcPr>
        <w:p w:rsidR="00EC379B" w:rsidRDefault="00F3386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19.105.232</w:t>
          </w:r>
          <w:r>
            <w:fldChar w:fldCharType="end"/>
          </w:r>
        </w:p>
      </w:tc>
    </w:tr>
    <w:tr w:rsidR="00387934" w:rsidTr="009C1E9A">
      <w:trPr>
        <w:cantSplit/>
      </w:trPr>
      <w:tc>
        <w:tcPr>
          <w:tcW w:w="0" w:type="pct"/>
        </w:tcPr>
        <w:p w:rsidR="00EC379B" w:rsidRDefault="00F3386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3386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33861" w:rsidP="006D504F">
          <w:pPr>
            <w:pStyle w:val="Footer"/>
            <w:rPr>
              <w:rStyle w:val="PageNumber"/>
            </w:rPr>
          </w:pPr>
        </w:p>
        <w:p w:rsidR="00EC379B" w:rsidRDefault="00F3386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793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3386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F3386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3386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3861">
      <w:r>
        <w:separator/>
      </w:r>
    </w:p>
  </w:footnote>
  <w:footnote w:type="continuationSeparator" w:id="0">
    <w:p w:rsidR="00000000" w:rsidRDefault="00F3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3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A85"/>
    <w:multiLevelType w:val="hybridMultilevel"/>
    <w:tmpl w:val="9B688AF2"/>
    <w:lvl w:ilvl="0" w:tplc="5B66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8E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E1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AD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6D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E0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6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65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2C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12E6"/>
    <w:multiLevelType w:val="hybridMultilevel"/>
    <w:tmpl w:val="8612EAA0"/>
    <w:lvl w:ilvl="0" w:tplc="5FDCF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69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02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EC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26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AF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02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D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6D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93495"/>
    <w:multiLevelType w:val="hybridMultilevel"/>
    <w:tmpl w:val="06CADDCA"/>
    <w:lvl w:ilvl="0" w:tplc="383248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CC621E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0C21F8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9E12B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960FFE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322A1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B54911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FA4954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90A3C5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201DBF"/>
    <w:multiLevelType w:val="hybridMultilevel"/>
    <w:tmpl w:val="CCA0B0AA"/>
    <w:lvl w:ilvl="0" w:tplc="E8B61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0D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8C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04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2D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24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A8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A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4E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E3E8E"/>
    <w:multiLevelType w:val="hybridMultilevel"/>
    <w:tmpl w:val="2CA41A3E"/>
    <w:lvl w:ilvl="0" w:tplc="EBDC0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D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08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A5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28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AF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8B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F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E4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34"/>
    <w:rsid w:val="00387934"/>
    <w:rsid w:val="00F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F70376-D3B3-4829-B74F-016C716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6B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6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6B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6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6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2702</Characters>
  <Application>Microsoft Office Word</Application>
  <DocSecurity>4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HB01782 (Committee Report (Unamended))</vt:lpstr>
    </vt:vector>
  </TitlesOfParts>
  <Company>State of Texas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27397</dc:subject>
  <dc:creator>State of Texas</dc:creator>
  <dc:description>HB 1782 by Cortez-(H)Public Health</dc:description>
  <cp:lastModifiedBy>Scotty Wimberley</cp:lastModifiedBy>
  <cp:revision>2</cp:revision>
  <cp:lastPrinted>2003-11-26T17:21:00Z</cp:lastPrinted>
  <dcterms:created xsi:type="dcterms:W3CDTF">2019-04-30T18:39:00Z</dcterms:created>
  <dcterms:modified xsi:type="dcterms:W3CDTF">2019-04-30T18:39:00Z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19.105.232</vt:lpwstr>
  </property>
</Properties>
</file>