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0125E" w:rsidTr="00345119">
        <w:tc>
          <w:tcPr>
            <w:tcW w:w="9576" w:type="dxa"/>
            <w:noWrap/>
          </w:tcPr>
          <w:p w:rsidR="008423E4" w:rsidRPr="0022177D" w:rsidRDefault="00D109D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109D3" w:rsidP="008423E4">
      <w:pPr>
        <w:jc w:val="center"/>
      </w:pPr>
    </w:p>
    <w:p w:rsidR="008423E4" w:rsidRPr="00B31F0E" w:rsidRDefault="00D109D3" w:rsidP="008423E4"/>
    <w:p w:rsidR="008423E4" w:rsidRPr="00742794" w:rsidRDefault="00D109D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0125E" w:rsidTr="00345119">
        <w:tc>
          <w:tcPr>
            <w:tcW w:w="9576" w:type="dxa"/>
          </w:tcPr>
          <w:p w:rsidR="008423E4" w:rsidRPr="00861995" w:rsidRDefault="00D109D3" w:rsidP="00345119">
            <w:pPr>
              <w:jc w:val="right"/>
            </w:pPr>
            <w:r>
              <w:t>H.B. 1793</w:t>
            </w:r>
          </w:p>
        </w:tc>
      </w:tr>
      <w:tr w:rsidR="00A0125E" w:rsidTr="00345119">
        <w:tc>
          <w:tcPr>
            <w:tcW w:w="9576" w:type="dxa"/>
          </w:tcPr>
          <w:p w:rsidR="008423E4" w:rsidRPr="00861995" w:rsidRDefault="00D109D3" w:rsidP="00D53BEB">
            <w:pPr>
              <w:jc w:val="right"/>
            </w:pPr>
            <w:r>
              <w:t xml:space="preserve">By: </w:t>
            </w:r>
            <w:r>
              <w:t>Schaefer</w:t>
            </w:r>
          </w:p>
        </w:tc>
      </w:tr>
      <w:tr w:rsidR="00A0125E" w:rsidTr="00345119">
        <w:tc>
          <w:tcPr>
            <w:tcW w:w="9576" w:type="dxa"/>
          </w:tcPr>
          <w:p w:rsidR="008423E4" w:rsidRPr="00861995" w:rsidRDefault="00D109D3" w:rsidP="00345119">
            <w:pPr>
              <w:jc w:val="right"/>
            </w:pPr>
            <w:r>
              <w:t>Judiciary &amp; Civil Jurisprudence</w:t>
            </w:r>
          </w:p>
        </w:tc>
      </w:tr>
      <w:tr w:rsidR="00A0125E" w:rsidTr="00345119">
        <w:tc>
          <w:tcPr>
            <w:tcW w:w="9576" w:type="dxa"/>
          </w:tcPr>
          <w:p w:rsidR="008423E4" w:rsidRDefault="00D109D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109D3" w:rsidP="008423E4">
      <w:pPr>
        <w:tabs>
          <w:tab w:val="right" w:pos="9360"/>
        </w:tabs>
      </w:pPr>
    </w:p>
    <w:p w:rsidR="008423E4" w:rsidRDefault="00D109D3" w:rsidP="008423E4"/>
    <w:p w:rsidR="008423E4" w:rsidRDefault="00D109D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0125E" w:rsidTr="00345119">
        <w:tc>
          <w:tcPr>
            <w:tcW w:w="9576" w:type="dxa"/>
          </w:tcPr>
          <w:p w:rsidR="008423E4" w:rsidRPr="00A8133F" w:rsidRDefault="00D109D3" w:rsidP="0098391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109D3" w:rsidP="0098391D"/>
          <w:p w:rsidR="008423E4" w:rsidRDefault="00D109D3" w:rsidP="009839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is a concern that </w:t>
            </w:r>
            <w:r>
              <w:t xml:space="preserve">statutory provisions relating to suits against </w:t>
            </w:r>
            <w:r>
              <w:t>T</w:t>
            </w:r>
            <w:r>
              <w:t xml:space="preserve">he </w:t>
            </w:r>
            <w:r w:rsidRPr="001D6147">
              <w:t>University of Texas at Tyler</w:t>
            </w:r>
            <w:r>
              <w:t xml:space="preserve"> may be inconsistent with the treatment of similar institutions in state law with regard to sovereign immunity. H.B. 1793 seeks to address this concern by </w:t>
            </w:r>
            <w:r>
              <w:t xml:space="preserve">clarifying venue for a suit and by </w:t>
            </w:r>
            <w:r>
              <w:t xml:space="preserve">removing certain </w:t>
            </w:r>
            <w:r>
              <w:t xml:space="preserve">related </w:t>
            </w:r>
            <w:r>
              <w:t>language, including language granting leg</w:t>
            </w:r>
            <w:r>
              <w:t>islative consent to such suits.</w:t>
            </w:r>
            <w:r>
              <w:t xml:space="preserve"> </w:t>
            </w:r>
            <w:r w:rsidRPr="001D6147">
              <w:t xml:space="preserve"> </w:t>
            </w:r>
          </w:p>
          <w:p w:rsidR="008423E4" w:rsidRPr="00E26B13" w:rsidRDefault="00D109D3" w:rsidP="0098391D">
            <w:pPr>
              <w:rPr>
                <w:b/>
              </w:rPr>
            </w:pPr>
          </w:p>
        </w:tc>
      </w:tr>
      <w:tr w:rsidR="00A0125E" w:rsidTr="00345119">
        <w:tc>
          <w:tcPr>
            <w:tcW w:w="9576" w:type="dxa"/>
          </w:tcPr>
          <w:p w:rsidR="0017725B" w:rsidRDefault="00D109D3" w:rsidP="009839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109D3" w:rsidP="0098391D">
            <w:pPr>
              <w:rPr>
                <w:b/>
                <w:u w:val="single"/>
              </w:rPr>
            </w:pPr>
          </w:p>
          <w:p w:rsidR="00B7469D" w:rsidRPr="00B7469D" w:rsidRDefault="00D109D3" w:rsidP="0098391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</w:t>
            </w:r>
            <w:r>
              <w:t>ity of a person for community supervision, parole, or mandatory supervision.</w:t>
            </w:r>
          </w:p>
          <w:p w:rsidR="0017725B" w:rsidRPr="0017725B" w:rsidRDefault="00D109D3" w:rsidP="0098391D">
            <w:pPr>
              <w:rPr>
                <w:b/>
                <w:u w:val="single"/>
              </w:rPr>
            </w:pPr>
          </w:p>
        </w:tc>
      </w:tr>
      <w:tr w:rsidR="00A0125E" w:rsidTr="00345119">
        <w:tc>
          <w:tcPr>
            <w:tcW w:w="9576" w:type="dxa"/>
          </w:tcPr>
          <w:p w:rsidR="008423E4" w:rsidRPr="00A8133F" w:rsidRDefault="00D109D3" w:rsidP="0098391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109D3" w:rsidP="0098391D"/>
          <w:p w:rsidR="00B7469D" w:rsidRDefault="00D109D3" w:rsidP="009839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</w:t>
            </w:r>
            <w:r>
              <w:t>tution.</w:t>
            </w:r>
          </w:p>
          <w:p w:rsidR="008423E4" w:rsidRPr="00E21FDC" w:rsidRDefault="00D109D3" w:rsidP="0098391D">
            <w:pPr>
              <w:rPr>
                <w:b/>
              </w:rPr>
            </w:pPr>
          </w:p>
        </w:tc>
      </w:tr>
      <w:tr w:rsidR="00A0125E" w:rsidTr="00345119">
        <w:tc>
          <w:tcPr>
            <w:tcW w:w="9576" w:type="dxa"/>
          </w:tcPr>
          <w:p w:rsidR="008423E4" w:rsidRPr="00A8133F" w:rsidRDefault="00D109D3" w:rsidP="0098391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109D3" w:rsidP="0098391D"/>
          <w:p w:rsidR="008423E4" w:rsidRDefault="00D109D3" w:rsidP="009839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</w:t>
            </w:r>
            <w:r w:rsidRPr="00FF62A6">
              <w:t xml:space="preserve">.B. </w:t>
            </w:r>
            <w:r w:rsidRPr="00FF62A6">
              <w:t>1</w:t>
            </w:r>
            <w:r>
              <w:t>79</w:t>
            </w:r>
            <w:r w:rsidRPr="00FF62A6">
              <w:t xml:space="preserve">3 </w:t>
            </w:r>
            <w:r w:rsidRPr="00FF62A6">
              <w:t>amends the Educat</w:t>
            </w:r>
            <w:r>
              <w:t xml:space="preserve">ion Code to clarify that venue </w:t>
            </w:r>
            <w:r w:rsidRPr="00FF62A6">
              <w:t xml:space="preserve">for a suit </w:t>
            </w:r>
            <w:r>
              <w:t>against</w:t>
            </w:r>
            <w:r w:rsidRPr="00FF62A6">
              <w:t xml:space="preserve"> </w:t>
            </w:r>
            <w:r w:rsidRPr="00FF62A6">
              <w:t xml:space="preserve">The </w:t>
            </w:r>
            <w:r>
              <w:t>U</w:t>
            </w:r>
            <w:r w:rsidRPr="00FF62A6">
              <w:t xml:space="preserve">niversity of Texas at Tyler is in Smith or Travis County. </w:t>
            </w:r>
            <w:r>
              <w:t xml:space="preserve">The bill prohibits this provision from being construed as granting legislative consent for a suit against the board of regents or the university except as authorized by law. </w:t>
            </w:r>
            <w:r w:rsidRPr="00FF62A6">
              <w:t xml:space="preserve">The bill removes provisions authorizing the board of regents of The University of </w:t>
            </w:r>
            <w:r w:rsidRPr="00FF62A6">
              <w:t xml:space="preserve">Texas System to sue and be sued in the name of </w:t>
            </w:r>
            <w:r>
              <w:t xml:space="preserve">the </w:t>
            </w:r>
            <w:r>
              <w:t>university</w:t>
            </w:r>
            <w:r>
              <w:t>,</w:t>
            </w:r>
            <w:r>
              <w:t xml:space="preserve"> establishing that</w:t>
            </w:r>
            <w:r w:rsidRPr="00FF62A6">
              <w:t xml:space="preserve"> </w:t>
            </w:r>
            <w:r w:rsidRPr="00FF62A6">
              <w:t>th</w:t>
            </w:r>
            <w:r>
              <w:t>e</w:t>
            </w:r>
            <w:r w:rsidRPr="00FF62A6">
              <w:t xml:space="preserve"> </w:t>
            </w:r>
            <w:r>
              <w:t>university</w:t>
            </w:r>
            <w:r w:rsidRPr="00FF62A6">
              <w:t xml:space="preserve"> </w:t>
            </w:r>
            <w:r>
              <w:t>may</w:t>
            </w:r>
            <w:r w:rsidRPr="00FF62A6">
              <w:t xml:space="preserve"> </w:t>
            </w:r>
            <w:r w:rsidRPr="00FF62A6">
              <w:t xml:space="preserve">be impleaded by service of citation on its president, and </w:t>
            </w:r>
            <w:r>
              <w:t xml:space="preserve">explicitly </w:t>
            </w:r>
            <w:r>
              <w:t>granting</w:t>
            </w:r>
            <w:r w:rsidRPr="00FF62A6">
              <w:t xml:space="preserve"> </w:t>
            </w:r>
            <w:r w:rsidRPr="00FF62A6">
              <w:t xml:space="preserve">legislative consent to suits against </w:t>
            </w:r>
            <w:r w:rsidRPr="00FF62A6">
              <w:t>th</w:t>
            </w:r>
            <w:r>
              <w:t>e</w:t>
            </w:r>
            <w:r w:rsidRPr="00FF62A6">
              <w:t xml:space="preserve"> </w:t>
            </w:r>
            <w:r>
              <w:t>university</w:t>
            </w:r>
            <w:r>
              <w:t>.</w:t>
            </w:r>
            <w:r>
              <w:t xml:space="preserve"> </w:t>
            </w:r>
          </w:p>
          <w:p w:rsidR="008423E4" w:rsidRPr="00835628" w:rsidRDefault="00D109D3" w:rsidP="0098391D">
            <w:pPr>
              <w:rPr>
                <w:b/>
              </w:rPr>
            </w:pPr>
          </w:p>
        </w:tc>
      </w:tr>
      <w:tr w:rsidR="00A0125E" w:rsidTr="00345119">
        <w:tc>
          <w:tcPr>
            <w:tcW w:w="9576" w:type="dxa"/>
          </w:tcPr>
          <w:p w:rsidR="008423E4" w:rsidRPr="00A8133F" w:rsidRDefault="00D109D3" w:rsidP="0098391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109D3" w:rsidP="0098391D"/>
          <w:p w:rsidR="008423E4" w:rsidRPr="003624F2" w:rsidRDefault="00D109D3" w:rsidP="009839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</w:t>
            </w:r>
            <w:r>
              <w:t>mber 1, 2019.</w:t>
            </w:r>
          </w:p>
          <w:p w:rsidR="008423E4" w:rsidRPr="00233FDB" w:rsidRDefault="00D109D3" w:rsidP="0098391D">
            <w:pPr>
              <w:rPr>
                <w:b/>
              </w:rPr>
            </w:pPr>
          </w:p>
        </w:tc>
      </w:tr>
    </w:tbl>
    <w:p w:rsidR="008423E4" w:rsidRPr="00BE0E75" w:rsidRDefault="00D109D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109D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09D3">
      <w:r>
        <w:separator/>
      </w:r>
    </w:p>
  </w:endnote>
  <w:endnote w:type="continuationSeparator" w:id="0">
    <w:p w:rsidR="00000000" w:rsidRDefault="00D1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0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0125E" w:rsidTr="009C1E9A">
      <w:trPr>
        <w:cantSplit/>
      </w:trPr>
      <w:tc>
        <w:tcPr>
          <w:tcW w:w="0" w:type="pct"/>
        </w:tcPr>
        <w:p w:rsidR="00137D90" w:rsidRDefault="00D109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109D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109D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109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109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125E" w:rsidTr="009C1E9A">
      <w:trPr>
        <w:cantSplit/>
      </w:trPr>
      <w:tc>
        <w:tcPr>
          <w:tcW w:w="0" w:type="pct"/>
        </w:tcPr>
        <w:p w:rsidR="00EC379B" w:rsidRDefault="00D109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109D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21135</w:t>
          </w:r>
        </w:p>
      </w:tc>
      <w:tc>
        <w:tcPr>
          <w:tcW w:w="2453" w:type="pct"/>
        </w:tcPr>
        <w:p w:rsidR="00EC379B" w:rsidRDefault="00D109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19.80.618</w:t>
          </w:r>
          <w:r>
            <w:fldChar w:fldCharType="end"/>
          </w:r>
        </w:p>
      </w:tc>
    </w:tr>
    <w:tr w:rsidR="00A0125E" w:rsidTr="009C1E9A">
      <w:trPr>
        <w:cantSplit/>
      </w:trPr>
      <w:tc>
        <w:tcPr>
          <w:tcW w:w="0" w:type="pct"/>
        </w:tcPr>
        <w:p w:rsidR="00EC379B" w:rsidRDefault="00D109D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109D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109D3" w:rsidP="006D504F">
          <w:pPr>
            <w:pStyle w:val="Footer"/>
            <w:rPr>
              <w:rStyle w:val="PageNumber"/>
            </w:rPr>
          </w:pPr>
        </w:p>
        <w:p w:rsidR="00EC379B" w:rsidRDefault="00D109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125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109D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109D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109D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0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09D3">
      <w:r>
        <w:separator/>
      </w:r>
    </w:p>
  </w:footnote>
  <w:footnote w:type="continuationSeparator" w:id="0">
    <w:p w:rsidR="00000000" w:rsidRDefault="00D10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0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09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09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5E"/>
    <w:rsid w:val="00A0125E"/>
    <w:rsid w:val="00D1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2A17E6-F420-44E3-AA7A-D9E256E9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F62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62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A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6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62A6"/>
    <w:rPr>
      <w:b/>
      <w:bCs/>
    </w:rPr>
  </w:style>
  <w:style w:type="character" w:styleId="Hyperlink">
    <w:name w:val="Hyperlink"/>
    <w:basedOn w:val="DefaultParagraphFont"/>
    <w:unhideWhenUsed/>
    <w:rsid w:val="00FF62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60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1404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HB01793 (Committee Report (Unamended))</vt:lpstr>
    </vt:vector>
  </TitlesOfParts>
  <Company>State of Texas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21135</dc:subject>
  <dc:creator>State of Texas</dc:creator>
  <dc:description>HB 1793 by Schaefer-(H)Judiciary &amp; Civil Jurisprudence</dc:description>
  <cp:lastModifiedBy>Stacey Nicchio</cp:lastModifiedBy>
  <cp:revision>2</cp:revision>
  <cp:lastPrinted>2003-11-26T17:21:00Z</cp:lastPrinted>
  <dcterms:created xsi:type="dcterms:W3CDTF">2019-04-11T20:46:00Z</dcterms:created>
  <dcterms:modified xsi:type="dcterms:W3CDTF">2019-04-11T20:46:00Z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19.80.618</vt:lpwstr>
  </property>
</Properties>
</file>