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B0558" w:rsidTr="00345119">
        <w:tc>
          <w:tcPr>
            <w:tcW w:w="9576" w:type="dxa"/>
            <w:noWrap/>
          </w:tcPr>
          <w:p w:rsidR="008423E4" w:rsidRPr="0022177D" w:rsidRDefault="0010742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07425" w:rsidP="008423E4">
      <w:pPr>
        <w:jc w:val="center"/>
      </w:pPr>
    </w:p>
    <w:p w:rsidR="008423E4" w:rsidRPr="00B31F0E" w:rsidRDefault="00107425" w:rsidP="008423E4"/>
    <w:p w:rsidR="008423E4" w:rsidRPr="00742794" w:rsidRDefault="0010742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B0558" w:rsidTr="00345119">
        <w:tc>
          <w:tcPr>
            <w:tcW w:w="9576" w:type="dxa"/>
          </w:tcPr>
          <w:p w:rsidR="008423E4" w:rsidRPr="00861995" w:rsidRDefault="00107425" w:rsidP="00345119">
            <w:pPr>
              <w:jc w:val="right"/>
            </w:pPr>
            <w:r>
              <w:t>C.S.H.B. 1833</w:t>
            </w:r>
          </w:p>
        </w:tc>
      </w:tr>
      <w:tr w:rsidR="002B0558" w:rsidTr="00345119">
        <w:tc>
          <w:tcPr>
            <w:tcW w:w="9576" w:type="dxa"/>
          </w:tcPr>
          <w:p w:rsidR="008423E4" w:rsidRPr="00861995" w:rsidRDefault="00107425" w:rsidP="00746A6E">
            <w:pPr>
              <w:jc w:val="right"/>
            </w:pPr>
            <w:r>
              <w:t xml:space="preserve">By: </w:t>
            </w:r>
            <w:r>
              <w:t>Wray</w:t>
            </w:r>
          </w:p>
        </w:tc>
      </w:tr>
      <w:tr w:rsidR="002B0558" w:rsidTr="00345119">
        <w:tc>
          <w:tcPr>
            <w:tcW w:w="9576" w:type="dxa"/>
          </w:tcPr>
          <w:p w:rsidR="008423E4" w:rsidRPr="00861995" w:rsidRDefault="00107425" w:rsidP="00345119">
            <w:pPr>
              <w:jc w:val="right"/>
            </w:pPr>
            <w:r>
              <w:t>Business &amp; Industry</w:t>
            </w:r>
          </w:p>
        </w:tc>
      </w:tr>
      <w:tr w:rsidR="002B0558" w:rsidTr="00345119">
        <w:tc>
          <w:tcPr>
            <w:tcW w:w="9576" w:type="dxa"/>
          </w:tcPr>
          <w:p w:rsidR="008423E4" w:rsidRDefault="0010742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07425" w:rsidP="008423E4">
      <w:pPr>
        <w:tabs>
          <w:tab w:val="right" w:pos="9360"/>
        </w:tabs>
      </w:pPr>
    </w:p>
    <w:p w:rsidR="008423E4" w:rsidRDefault="00107425" w:rsidP="008423E4"/>
    <w:p w:rsidR="008423E4" w:rsidRDefault="0010742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B0558" w:rsidTr="00345119">
        <w:tc>
          <w:tcPr>
            <w:tcW w:w="9576" w:type="dxa"/>
          </w:tcPr>
          <w:p w:rsidR="008423E4" w:rsidRPr="00A8133F" w:rsidRDefault="00107425" w:rsidP="00C916A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07425" w:rsidP="00C916A9"/>
          <w:p w:rsidR="008423E4" w:rsidRDefault="00107425" w:rsidP="00C916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</w:t>
            </w:r>
            <w:r>
              <w:t xml:space="preserve"> that because of the relative ease with which complex business entities can be created through online legal services or otherwise, it may be difficult to determine whether a given individual has the authority to sell real property owned by such an entity.</w:t>
            </w:r>
            <w:r>
              <w:t xml:space="preserve"> </w:t>
            </w:r>
            <w:r>
              <w:t>C.S.</w:t>
            </w:r>
            <w:r>
              <w:t xml:space="preserve">H.B. 1833 seeks to </w:t>
            </w:r>
            <w:r>
              <w:t>provide certainty regarding real property transactions through the execution and recording of an affidavit.</w:t>
            </w:r>
            <w:r>
              <w:t xml:space="preserve"> </w:t>
            </w:r>
            <w:r>
              <w:t xml:space="preserve"> </w:t>
            </w:r>
          </w:p>
          <w:p w:rsidR="008423E4" w:rsidRPr="00E26B13" w:rsidRDefault="00107425" w:rsidP="00C916A9">
            <w:pPr>
              <w:rPr>
                <w:b/>
              </w:rPr>
            </w:pPr>
          </w:p>
        </w:tc>
      </w:tr>
      <w:tr w:rsidR="002B0558" w:rsidTr="00345119">
        <w:tc>
          <w:tcPr>
            <w:tcW w:w="9576" w:type="dxa"/>
          </w:tcPr>
          <w:p w:rsidR="0017725B" w:rsidRDefault="00107425" w:rsidP="00C916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07425" w:rsidP="00C916A9">
            <w:pPr>
              <w:rPr>
                <w:b/>
                <w:u w:val="single"/>
              </w:rPr>
            </w:pPr>
          </w:p>
          <w:p w:rsidR="006D03BB" w:rsidRPr="006D03BB" w:rsidRDefault="00107425" w:rsidP="00C916A9">
            <w:pPr>
              <w:jc w:val="both"/>
            </w:pPr>
            <w:r>
              <w:t>It is the committee's opinion that this bill does not expressly create a criminal offense, incre</w:t>
            </w:r>
            <w:r>
              <w:t>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07425" w:rsidP="00C916A9">
            <w:pPr>
              <w:rPr>
                <w:b/>
                <w:u w:val="single"/>
              </w:rPr>
            </w:pPr>
          </w:p>
        </w:tc>
      </w:tr>
      <w:tr w:rsidR="002B0558" w:rsidTr="00345119">
        <w:tc>
          <w:tcPr>
            <w:tcW w:w="9576" w:type="dxa"/>
          </w:tcPr>
          <w:p w:rsidR="008423E4" w:rsidRPr="00A8133F" w:rsidRDefault="00107425" w:rsidP="00C916A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07425" w:rsidP="00C916A9"/>
          <w:p w:rsidR="006D03BB" w:rsidRDefault="00107425" w:rsidP="00C916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</w:t>
            </w:r>
            <w:r>
              <w:t>xpressly grant any additional rulemaking authority to a state officer, department, agency, or institution.</w:t>
            </w:r>
          </w:p>
          <w:p w:rsidR="008423E4" w:rsidRPr="00E21FDC" w:rsidRDefault="00107425" w:rsidP="00C916A9">
            <w:pPr>
              <w:rPr>
                <w:b/>
              </w:rPr>
            </w:pPr>
          </w:p>
        </w:tc>
      </w:tr>
      <w:tr w:rsidR="002B0558" w:rsidTr="00345119">
        <w:tc>
          <w:tcPr>
            <w:tcW w:w="9576" w:type="dxa"/>
          </w:tcPr>
          <w:p w:rsidR="008423E4" w:rsidRPr="00A8133F" w:rsidRDefault="00107425" w:rsidP="00C916A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07425" w:rsidP="00C916A9"/>
          <w:p w:rsidR="00DC02EB" w:rsidRDefault="00107425" w:rsidP="00C916A9">
            <w:pPr>
              <w:pStyle w:val="Header"/>
              <w:jc w:val="both"/>
            </w:pPr>
            <w:r>
              <w:t>C.S.</w:t>
            </w:r>
            <w:r>
              <w:t>H.B. 1833 amends the Property Code to authorize a</w:t>
            </w:r>
            <w:r>
              <w:t>n applicable</w:t>
            </w:r>
            <w:r>
              <w:t xml:space="preserve"> domestic entity or foreign entity </w:t>
            </w:r>
            <w:r w:rsidRPr="00EA15D2">
              <w:t xml:space="preserve">that is active or in good standing </w:t>
            </w:r>
            <w:r w:rsidRPr="00EA15D2">
              <w:t>under the laws of the</w:t>
            </w:r>
            <w:r>
              <w:t xml:space="preserve"> </w:t>
            </w:r>
            <w:r w:rsidRPr="00EA15D2">
              <w:t>entity's jurisdiction of formation</w:t>
            </w:r>
            <w:r>
              <w:t xml:space="preserve"> to </w:t>
            </w:r>
            <w:r w:rsidRPr="00EA15D2">
              <w:t xml:space="preserve">execute and record an affidavit identifying </w:t>
            </w:r>
            <w:r>
              <w:t>one or more</w:t>
            </w:r>
            <w:r w:rsidRPr="00EA15D2">
              <w:t xml:space="preserve"> </w:t>
            </w:r>
            <w:r w:rsidRPr="00EA15D2">
              <w:t>individual</w:t>
            </w:r>
            <w:r>
              <w:t>s</w:t>
            </w:r>
            <w:r w:rsidRPr="00EA15D2">
              <w:t xml:space="preserve"> with authority to transfer on behalf of the entity an estate or interest in real property in the name of the entity.</w:t>
            </w:r>
            <w:r>
              <w:t xml:space="preserve"> The bill au</w:t>
            </w:r>
            <w:r>
              <w:t xml:space="preserve">thorizes </w:t>
            </w:r>
            <w:r>
              <w:t>the</w:t>
            </w:r>
            <w:r>
              <w:t xml:space="preserve"> transfer of </w:t>
            </w:r>
            <w:r>
              <w:t>such an</w:t>
            </w:r>
            <w:r>
              <w:t xml:space="preserve"> estate or interest in real</w:t>
            </w:r>
            <w:r>
              <w:t xml:space="preserve"> property</w:t>
            </w:r>
            <w:r>
              <w:t xml:space="preserve"> </w:t>
            </w:r>
            <w:r w:rsidRPr="00EA15D2">
              <w:t xml:space="preserve">by </w:t>
            </w:r>
            <w:r>
              <w:t>one or more</w:t>
            </w:r>
            <w:r w:rsidRPr="00EA15D2">
              <w:t xml:space="preserve"> </w:t>
            </w:r>
            <w:r w:rsidRPr="00EA15D2">
              <w:t>individual</w:t>
            </w:r>
            <w:r>
              <w:t>s</w:t>
            </w:r>
            <w:r w:rsidRPr="00EA15D2">
              <w:t xml:space="preserve"> identified as authorized to do so in </w:t>
            </w:r>
            <w:r>
              <w:t xml:space="preserve">the affidavit. The bill </w:t>
            </w:r>
            <w:r w:rsidRPr="002F255B">
              <w:t xml:space="preserve">sets out the </w:t>
            </w:r>
            <w:r>
              <w:t xml:space="preserve">required contents of </w:t>
            </w:r>
            <w:r w:rsidRPr="002F255B">
              <w:t>the affidavit</w:t>
            </w:r>
            <w:r>
              <w:t xml:space="preserve"> and </w:t>
            </w:r>
            <w:r>
              <w:t>requires the affidavit to</w:t>
            </w:r>
            <w:r>
              <w:t xml:space="preserve"> </w:t>
            </w:r>
            <w:r>
              <w:t>be executed under pen</w:t>
            </w:r>
            <w:r>
              <w:t xml:space="preserve">alty of perjury by an individual </w:t>
            </w:r>
            <w:r>
              <w:t>who satisfies certain criteria</w:t>
            </w:r>
            <w:r w:rsidRPr="002F255B">
              <w:t>.</w:t>
            </w:r>
            <w:r>
              <w:t xml:space="preserve"> </w:t>
            </w:r>
            <w:r>
              <w:t>The bill authorizes an individual to execute the affidavit on behalf o</w:t>
            </w:r>
            <w:r>
              <w:t>f</w:t>
            </w:r>
            <w:r>
              <w:t xml:space="preserve"> a domestic entity that files a franchise tax public information report if</w:t>
            </w:r>
            <w:r>
              <w:t>,</w:t>
            </w:r>
            <w:r>
              <w:t xml:space="preserve"> on the date the affidavit is executed</w:t>
            </w:r>
            <w:r>
              <w:t>,</w:t>
            </w:r>
            <w:r>
              <w:t xml:space="preserve"> the i</w:t>
            </w:r>
            <w:r>
              <w:t xml:space="preserve">ndividual is a director or officer of a corporation, a manager or member of a limited liability company, a general partner of a limited partnership, </w:t>
            </w:r>
            <w:r>
              <w:t xml:space="preserve">or </w:t>
            </w:r>
            <w:r>
              <w:t>a director or officer of a professional corporation or association</w:t>
            </w:r>
            <w:r>
              <w:t>, as applicable</w:t>
            </w:r>
            <w:r>
              <w:t xml:space="preserve">. </w:t>
            </w:r>
            <w:r>
              <w:t>The bill</w:t>
            </w:r>
            <w:r>
              <w:t xml:space="preserve"> prohibits th</w:t>
            </w:r>
            <w:r>
              <w:t>e individual executing the affidavit from being the indiv</w:t>
            </w:r>
            <w:r>
              <w:t>idual authorized to transfer an</w:t>
            </w:r>
            <w:r>
              <w:t xml:space="preserve"> estate or interest in the real property described in the affidavit</w:t>
            </w:r>
            <w:r>
              <w:t xml:space="preserve">, </w:t>
            </w:r>
            <w:r>
              <w:t xml:space="preserve">subject to </w:t>
            </w:r>
            <w:r>
              <w:t>certain exceptions</w:t>
            </w:r>
            <w:r>
              <w:t xml:space="preserve">. </w:t>
            </w:r>
          </w:p>
          <w:p w:rsidR="00DC02EB" w:rsidRDefault="00107425" w:rsidP="00C916A9">
            <w:pPr>
              <w:pStyle w:val="Header"/>
              <w:jc w:val="both"/>
            </w:pPr>
          </w:p>
          <w:p w:rsidR="008423E4" w:rsidRDefault="00107425" w:rsidP="00C916A9">
            <w:pPr>
              <w:pStyle w:val="Header"/>
              <w:jc w:val="both"/>
            </w:pPr>
            <w:r>
              <w:t>C.S.</w:t>
            </w:r>
            <w:r>
              <w:t>H.B. 1833</w:t>
            </w:r>
            <w:r>
              <w:t xml:space="preserve"> authorizes the affidavit to </w:t>
            </w:r>
            <w:r w:rsidRPr="00662863">
              <w:t xml:space="preserve">be recorded in the </w:t>
            </w:r>
            <w:r w:rsidRPr="00662863">
              <w:t>county clerk's office in the county in whic</w:t>
            </w:r>
            <w:r>
              <w:t xml:space="preserve">h the real property is located and authorizes the </w:t>
            </w:r>
            <w:r w:rsidRPr="00662863">
              <w:t xml:space="preserve">county clerk </w:t>
            </w:r>
            <w:r>
              <w:t>to</w:t>
            </w:r>
            <w:r w:rsidRPr="00662863">
              <w:t xml:space="preserve"> collect a fee </w:t>
            </w:r>
            <w:r w:rsidRPr="00662863">
              <w:t xml:space="preserve">for recording </w:t>
            </w:r>
            <w:r>
              <w:t>the affidavit</w:t>
            </w:r>
            <w:r w:rsidRPr="003F16B6">
              <w:t xml:space="preserve"> </w:t>
            </w:r>
            <w:r w:rsidRPr="00C1070F">
              <w:t>in the amount</w:t>
            </w:r>
            <w:r>
              <w:t xml:space="preserve"> </w:t>
            </w:r>
            <w:r w:rsidRPr="00F4651F">
              <w:t>authorized for recording a transfer of real property</w:t>
            </w:r>
            <w:r w:rsidRPr="00662863">
              <w:t>.</w:t>
            </w:r>
            <w:r>
              <w:t xml:space="preserve"> The bill establishes that an affidavi</w:t>
            </w:r>
            <w:r>
              <w:t xml:space="preserve">t that complies with the bill's provisions </w:t>
            </w:r>
            <w:r w:rsidRPr="00662863">
              <w:t xml:space="preserve">and is filed </w:t>
            </w:r>
            <w:r>
              <w:t>in the county clerk's office</w:t>
            </w:r>
            <w:r w:rsidRPr="00662863">
              <w:t xml:space="preserve"> is conclusive proof of the factual m</w:t>
            </w:r>
            <w:r>
              <w:t>atters stated in the affidavit and that a</w:t>
            </w:r>
            <w:r w:rsidRPr="00662863">
              <w:t xml:space="preserve"> bona fide purchaser or mortgagee for value, a successor or assign of </w:t>
            </w:r>
            <w:r>
              <w:t xml:space="preserve">such </w:t>
            </w:r>
            <w:r w:rsidRPr="00662863">
              <w:t>a purchaser or mort</w:t>
            </w:r>
            <w:r w:rsidRPr="00662863">
              <w:t xml:space="preserve">gagee, or </w:t>
            </w:r>
            <w:r>
              <w:t xml:space="preserve">a third party without actual knowledge that the representations contained in the affidavit are incorrect </w:t>
            </w:r>
            <w:r w:rsidRPr="00662863">
              <w:t xml:space="preserve">may rely conclusively on </w:t>
            </w:r>
            <w:r>
              <w:t>the</w:t>
            </w:r>
            <w:r w:rsidRPr="00662863">
              <w:t xml:space="preserve"> </w:t>
            </w:r>
            <w:r w:rsidRPr="00662863">
              <w:t>affidavit.</w:t>
            </w:r>
            <w:r>
              <w:t xml:space="preserve"> The bill </w:t>
            </w:r>
            <w:r>
              <w:t>exempts</w:t>
            </w:r>
            <w:r>
              <w:t xml:space="preserve"> a </w:t>
            </w:r>
            <w:r w:rsidRPr="00662863">
              <w:t xml:space="preserve">person who in good faith acts in reliance on </w:t>
            </w:r>
            <w:r w:rsidRPr="00C1070F">
              <w:t xml:space="preserve">such </w:t>
            </w:r>
            <w:r w:rsidRPr="00C1070F">
              <w:t>an affidavit</w:t>
            </w:r>
            <w:r>
              <w:t>,</w:t>
            </w:r>
            <w:r w:rsidRPr="00662863">
              <w:t xml:space="preserve"> without </w:t>
            </w:r>
            <w:r>
              <w:t xml:space="preserve">actual </w:t>
            </w:r>
            <w:r w:rsidRPr="00662863">
              <w:t>kno</w:t>
            </w:r>
            <w:r w:rsidRPr="00662863">
              <w:t>wledge that the representations contained in the affidavit are incorrect</w:t>
            </w:r>
            <w:r>
              <w:t>,</w:t>
            </w:r>
            <w:r>
              <w:t xml:space="preserve"> </w:t>
            </w:r>
            <w:r>
              <w:t xml:space="preserve">from liability to any person for that act </w:t>
            </w:r>
            <w:r w:rsidRPr="00662863">
              <w:t xml:space="preserve">and </w:t>
            </w:r>
            <w:r>
              <w:t>authorizes a person who so acts to</w:t>
            </w:r>
            <w:r w:rsidRPr="00662863">
              <w:t xml:space="preserve"> </w:t>
            </w:r>
            <w:r w:rsidRPr="00662863">
              <w:t>assume without inquiry the existence of the facts contained in the affidavit.</w:t>
            </w:r>
            <w:r>
              <w:t xml:space="preserve"> The bill establishes th</w:t>
            </w:r>
            <w:r>
              <w:t>at nothing in the bill's provisions require</w:t>
            </w:r>
            <w:r>
              <w:t>s</w:t>
            </w:r>
            <w:r>
              <w:t xml:space="preserve"> a person to rely on an affidavit.</w:t>
            </w:r>
          </w:p>
          <w:p w:rsidR="00AF0C76" w:rsidRDefault="00107425" w:rsidP="00C916A9">
            <w:pPr>
              <w:pStyle w:val="Header"/>
              <w:jc w:val="both"/>
            </w:pPr>
          </w:p>
          <w:p w:rsidR="00AF0C76" w:rsidRDefault="00107425" w:rsidP="00C916A9">
            <w:pPr>
              <w:pStyle w:val="Header"/>
              <w:jc w:val="both"/>
            </w:pPr>
            <w:r>
              <w:t>C.S.H.B.</w:t>
            </w:r>
            <w:r>
              <w:t xml:space="preserve"> 1833</w:t>
            </w:r>
            <w:r>
              <w:t xml:space="preserve"> makes the bill's provisions inapplicable to a domestic nonprofit entity or foreign entity that is </w:t>
            </w:r>
            <w:r>
              <w:t xml:space="preserve">a charitable organization </w:t>
            </w:r>
            <w:r>
              <w:t xml:space="preserve">exempt from federal </w:t>
            </w:r>
            <w:r>
              <w:t>income tax</w:t>
            </w:r>
            <w:r>
              <w:t xml:space="preserve"> under t</w:t>
            </w:r>
            <w:r>
              <w:t>he federal Internal Revenue Code of 1986</w:t>
            </w:r>
            <w:r>
              <w:t xml:space="preserve"> or that is described by </w:t>
            </w:r>
            <w:r>
              <w:t>certain provisions of that code</w:t>
            </w:r>
            <w:r>
              <w:t>.</w:t>
            </w:r>
          </w:p>
          <w:p w:rsidR="008423E4" w:rsidRPr="00835628" w:rsidRDefault="00107425" w:rsidP="00C916A9">
            <w:pPr>
              <w:rPr>
                <w:b/>
              </w:rPr>
            </w:pPr>
          </w:p>
        </w:tc>
      </w:tr>
      <w:tr w:rsidR="002B0558" w:rsidTr="00345119">
        <w:tc>
          <w:tcPr>
            <w:tcW w:w="9576" w:type="dxa"/>
          </w:tcPr>
          <w:p w:rsidR="008423E4" w:rsidRPr="00A8133F" w:rsidRDefault="00107425" w:rsidP="00C916A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07425" w:rsidP="00C916A9"/>
          <w:p w:rsidR="008A34A5" w:rsidRDefault="00107425" w:rsidP="00C916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</w:t>
            </w:r>
            <w:r>
              <w:t>.</w:t>
            </w:r>
          </w:p>
          <w:p w:rsidR="008423E4" w:rsidRPr="00985B19" w:rsidRDefault="00107425" w:rsidP="00C916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2B0558" w:rsidTr="00345119">
        <w:tc>
          <w:tcPr>
            <w:tcW w:w="9576" w:type="dxa"/>
          </w:tcPr>
          <w:p w:rsidR="00746A6E" w:rsidRDefault="00107425" w:rsidP="00C916A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539F8" w:rsidRDefault="00107425" w:rsidP="00C916A9">
            <w:pPr>
              <w:jc w:val="both"/>
            </w:pPr>
          </w:p>
          <w:p w:rsidR="00B539F8" w:rsidRDefault="00107425" w:rsidP="00C916A9">
            <w:pPr>
              <w:jc w:val="both"/>
            </w:pPr>
            <w:r>
              <w:t xml:space="preserve">While C.S.H.B. 1833 may differ from the original in minor or nonsubstantive </w:t>
            </w:r>
            <w:r>
              <w:t>ways, the following summarizes the substantial differences between the introduced and committee substitute versions of the bill.</w:t>
            </w:r>
          </w:p>
          <w:p w:rsidR="00B539F8" w:rsidRDefault="00107425" w:rsidP="00C916A9">
            <w:pPr>
              <w:jc w:val="both"/>
            </w:pPr>
          </w:p>
          <w:p w:rsidR="00200420" w:rsidRDefault="00107425" w:rsidP="00C916A9">
            <w:pPr>
              <w:jc w:val="both"/>
              <w:rPr>
                <w:rFonts w:eastAsia="Calibri"/>
              </w:rPr>
            </w:pPr>
            <w:r>
              <w:t xml:space="preserve">The substitute includes </w:t>
            </w:r>
            <w:r w:rsidRPr="00B1483D">
              <w:rPr>
                <w:rFonts w:eastAsia="Calibri"/>
              </w:rPr>
              <w:t xml:space="preserve">a provision </w:t>
            </w:r>
            <w:r>
              <w:rPr>
                <w:rFonts w:eastAsia="Calibri"/>
              </w:rPr>
              <w:t>excluding certain domestic nonprofit and foreign entities from the application of its prov</w:t>
            </w:r>
            <w:r>
              <w:rPr>
                <w:rFonts w:eastAsia="Calibri"/>
              </w:rPr>
              <w:t>isions.</w:t>
            </w:r>
          </w:p>
          <w:p w:rsidR="00200420" w:rsidRDefault="00107425" w:rsidP="00C916A9">
            <w:pPr>
              <w:jc w:val="both"/>
            </w:pPr>
          </w:p>
          <w:p w:rsidR="00200420" w:rsidRDefault="00107425" w:rsidP="00C916A9">
            <w:pPr>
              <w:jc w:val="both"/>
            </w:pPr>
            <w:r>
              <w:t xml:space="preserve">The substitute extends an </w:t>
            </w:r>
            <w:r>
              <w:t xml:space="preserve">applicable </w:t>
            </w:r>
            <w:r>
              <w:t xml:space="preserve">entity's authority to identify </w:t>
            </w:r>
            <w:r>
              <w:t>by</w:t>
            </w:r>
            <w:r>
              <w:t xml:space="preserve"> affidavit an individual </w:t>
            </w:r>
            <w:r>
              <w:t>who is authorized</w:t>
            </w:r>
            <w:r>
              <w:t xml:space="preserve"> to transfer certain property on behalf of the entity to authorize the identification of one or more </w:t>
            </w:r>
            <w:r>
              <w:t xml:space="preserve">such </w:t>
            </w:r>
            <w:r>
              <w:t>individuals.</w:t>
            </w:r>
          </w:p>
          <w:p w:rsidR="00200420" w:rsidRPr="00B1483D" w:rsidRDefault="00107425" w:rsidP="00C916A9">
            <w:pPr>
              <w:jc w:val="both"/>
            </w:pPr>
          </w:p>
          <w:p w:rsidR="00B1483D" w:rsidRPr="00B1483D" w:rsidRDefault="00107425" w:rsidP="00C916A9">
            <w:pPr>
              <w:jc w:val="both"/>
              <w:rPr>
                <w:rFonts w:eastAsia="Calibri"/>
              </w:rPr>
            </w:pPr>
            <w:r w:rsidRPr="00B1483D">
              <w:rPr>
                <w:rFonts w:eastAsia="Calibri"/>
              </w:rPr>
              <w:t xml:space="preserve">The substitute </w:t>
            </w:r>
            <w:r w:rsidRPr="00B1483D">
              <w:rPr>
                <w:rFonts w:eastAsia="Calibri"/>
              </w:rPr>
              <w:t>includes a provision authorizing certain individuals</w:t>
            </w:r>
            <w:r>
              <w:rPr>
                <w:rFonts w:eastAsia="Calibri"/>
              </w:rPr>
              <w:t>, as applicable to the type of entity,</w:t>
            </w:r>
            <w:r w:rsidRPr="00B1483D">
              <w:rPr>
                <w:rFonts w:eastAsia="Calibri"/>
              </w:rPr>
              <w:t xml:space="preserve"> to execute the affidavit on behalf of a domestic entity that files a franchise tax public information report.</w:t>
            </w:r>
            <w:r>
              <w:rPr>
                <w:rFonts w:eastAsia="Calibri"/>
              </w:rPr>
              <w:t xml:space="preserve"> The substitute includes additional </w:t>
            </w:r>
            <w:r>
              <w:rPr>
                <w:rFonts w:eastAsia="Calibri"/>
              </w:rPr>
              <w:t>exceptions to the pr</w:t>
            </w:r>
            <w:r>
              <w:rPr>
                <w:rFonts w:eastAsia="Calibri"/>
              </w:rPr>
              <w:t xml:space="preserve">ohibition against </w:t>
            </w:r>
            <w:r>
              <w:rPr>
                <w:rFonts w:eastAsia="Calibri"/>
              </w:rPr>
              <w:t xml:space="preserve">the individual executing the affidavit </w:t>
            </w:r>
            <w:r>
              <w:rPr>
                <w:rFonts w:eastAsia="Calibri"/>
              </w:rPr>
              <w:t>being</w:t>
            </w:r>
            <w:r>
              <w:rPr>
                <w:rFonts w:eastAsia="Calibri"/>
              </w:rPr>
              <w:t xml:space="preserve"> the individual authorized by the affidavit</w:t>
            </w:r>
            <w:r>
              <w:rPr>
                <w:rFonts w:eastAsia="Calibri"/>
              </w:rPr>
              <w:t>.</w:t>
            </w:r>
          </w:p>
          <w:p w:rsidR="00B1483D" w:rsidRPr="00B1483D" w:rsidRDefault="00107425" w:rsidP="00C916A9">
            <w:pPr>
              <w:jc w:val="both"/>
              <w:rPr>
                <w:rFonts w:eastAsia="Calibri"/>
              </w:rPr>
            </w:pPr>
          </w:p>
          <w:p w:rsidR="00B1483D" w:rsidRPr="00B1483D" w:rsidRDefault="00107425" w:rsidP="00C916A9">
            <w:pPr>
              <w:jc w:val="both"/>
              <w:rPr>
                <w:rFonts w:eastAsia="Calibri"/>
              </w:rPr>
            </w:pPr>
            <w:r w:rsidRPr="00B1483D">
              <w:rPr>
                <w:rFonts w:eastAsia="Calibri"/>
              </w:rPr>
              <w:t xml:space="preserve">The </w:t>
            </w:r>
            <w:r>
              <w:rPr>
                <w:rFonts w:eastAsia="Calibri"/>
              </w:rPr>
              <w:t>substitute</w:t>
            </w:r>
            <w:r w:rsidRPr="00B1483D">
              <w:rPr>
                <w:rFonts w:eastAsia="Calibri"/>
              </w:rPr>
              <w:t xml:space="preserve"> </w:t>
            </w:r>
            <w:r w:rsidRPr="00B1483D">
              <w:rPr>
                <w:rFonts w:eastAsia="Calibri"/>
              </w:rPr>
              <w:t xml:space="preserve">does not </w:t>
            </w:r>
            <w:r>
              <w:rPr>
                <w:rFonts w:eastAsia="Calibri"/>
              </w:rPr>
              <w:t xml:space="preserve">specifically </w:t>
            </w:r>
            <w:r w:rsidRPr="00B1483D">
              <w:rPr>
                <w:rFonts w:eastAsia="Calibri"/>
              </w:rPr>
              <w:t xml:space="preserve">include a title insurance company among the entities that may rely conclusively on the affidavit </w:t>
            </w:r>
            <w:r>
              <w:rPr>
                <w:rFonts w:eastAsia="Calibri"/>
              </w:rPr>
              <w:t>but</w:t>
            </w:r>
            <w:r w:rsidRPr="00B1483D">
              <w:rPr>
                <w:rFonts w:eastAsia="Calibri"/>
              </w:rPr>
              <w:t xml:space="preserve"> </w:t>
            </w:r>
            <w:r w:rsidRPr="00B1483D">
              <w:rPr>
                <w:rFonts w:eastAsia="Calibri"/>
              </w:rPr>
              <w:t>includes i</w:t>
            </w:r>
            <w:r w:rsidRPr="00B1483D">
              <w:rPr>
                <w:rFonts w:eastAsia="Calibri"/>
              </w:rPr>
              <w:t>nstead a third party without actual knowledge that the representations contained in the affidavit are incorrect.</w:t>
            </w:r>
          </w:p>
          <w:p w:rsidR="00B1483D" w:rsidRPr="00B1483D" w:rsidRDefault="00107425" w:rsidP="00C916A9">
            <w:pPr>
              <w:jc w:val="both"/>
              <w:rPr>
                <w:rFonts w:eastAsia="Calibri"/>
              </w:rPr>
            </w:pPr>
          </w:p>
          <w:p w:rsidR="00B539F8" w:rsidRDefault="00107425" w:rsidP="00C916A9">
            <w:pPr>
              <w:jc w:val="both"/>
            </w:pPr>
            <w:r w:rsidRPr="00B1483D">
              <w:rPr>
                <w:rFonts w:eastAsia="Calibri"/>
              </w:rPr>
              <w:t>The substitute includes a provision establishing that nothing in its provisions require</w:t>
            </w:r>
            <w:r>
              <w:rPr>
                <w:rFonts w:eastAsia="Calibri"/>
              </w:rPr>
              <w:t>s</w:t>
            </w:r>
            <w:r w:rsidRPr="00B1483D">
              <w:rPr>
                <w:rFonts w:eastAsia="Calibri"/>
              </w:rPr>
              <w:t xml:space="preserve"> a person to rely on the affidavit</w:t>
            </w:r>
            <w:r>
              <w:rPr>
                <w:rFonts w:eastAsia="Calibri"/>
              </w:rPr>
              <w:t>.</w:t>
            </w:r>
          </w:p>
          <w:p w:rsidR="00B539F8" w:rsidRPr="00B539F8" w:rsidRDefault="00107425" w:rsidP="00C916A9">
            <w:pPr>
              <w:jc w:val="both"/>
            </w:pPr>
          </w:p>
        </w:tc>
      </w:tr>
      <w:tr w:rsidR="002B0558" w:rsidTr="00345119">
        <w:tc>
          <w:tcPr>
            <w:tcW w:w="9576" w:type="dxa"/>
          </w:tcPr>
          <w:p w:rsidR="00746A6E" w:rsidRPr="009C1E9A" w:rsidRDefault="00107425" w:rsidP="00C916A9">
            <w:pPr>
              <w:rPr>
                <w:b/>
                <w:u w:val="single"/>
              </w:rPr>
            </w:pPr>
          </w:p>
        </w:tc>
      </w:tr>
      <w:tr w:rsidR="002B0558" w:rsidTr="00345119">
        <w:tc>
          <w:tcPr>
            <w:tcW w:w="9576" w:type="dxa"/>
          </w:tcPr>
          <w:p w:rsidR="00746A6E" w:rsidRPr="00746A6E" w:rsidRDefault="00107425" w:rsidP="00C916A9">
            <w:pPr>
              <w:jc w:val="both"/>
            </w:pPr>
          </w:p>
        </w:tc>
      </w:tr>
    </w:tbl>
    <w:p w:rsidR="004108C3" w:rsidRPr="00E6231E" w:rsidRDefault="00107425" w:rsidP="008423E4">
      <w:pPr>
        <w:rPr>
          <w:sz w:val="2"/>
          <w:szCs w:val="2"/>
        </w:rPr>
      </w:pPr>
    </w:p>
    <w:sectPr w:rsidR="004108C3" w:rsidRPr="00E6231E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7425">
      <w:r>
        <w:separator/>
      </w:r>
    </w:p>
  </w:endnote>
  <w:endnote w:type="continuationSeparator" w:id="0">
    <w:p w:rsidR="00000000" w:rsidRDefault="0010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74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B0558" w:rsidTr="009C1E9A">
      <w:trPr>
        <w:cantSplit/>
      </w:trPr>
      <w:tc>
        <w:tcPr>
          <w:tcW w:w="0" w:type="pct"/>
        </w:tcPr>
        <w:p w:rsidR="00137D90" w:rsidRDefault="001074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0742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0742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074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074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0558" w:rsidTr="009C1E9A">
      <w:trPr>
        <w:cantSplit/>
      </w:trPr>
      <w:tc>
        <w:tcPr>
          <w:tcW w:w="0" w:type="pct"/>
        </w:tcPr>
        <w:p w:rsidR="00EC379B" w:rsidRDefault="001074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0742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26502</w:t>
          </w:r>
        </w:p>
      </w:tc>
      <w:tc>
        <w:tcPr>
          <w:tcW w:w="2453" w:type="pct"/>
        </w:tcPr>
        <w:p w:rsidR="00EC379B" w:rsidRDefault="001074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19.101.1279</w:t>
          </w:r>
          <w:r>
            <w:fldChar w:fldCharType="end"/>
          </w:r>
        </w:p>
      </w:tc>
    </w:tr>
    <w:tr w:rsidR="002B0558" w:rsidTr="009C1E9A">
      <w:trPr>
        <w:cantSplit/>
      </w:trPr>
      <w:tc>
        <w:tcPr>
          <w:tcW w:w="0" w:type="pct"/>
        </w:tcPr>
        <w:p w:rsidR="00EC379B" w:rsidRDefault="0010742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0742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16978</w:t>
          </w:r>
        </w:p>
      </w:tc>
      <w:tc>
        <w:tcPr>
          <w:tcW w:w="2453" w:type="pct"/>
        </w:tcPr>
        <w:p w:rsidR="00EC379B" w:rsidRDefault="00107425" w:rsidP="006D504F">
          <w:pPr>
            <w:pStyle w:val="Footer"/>
            <w:rPr>
              <w:rStyle w:val="PageNumber"/>
            </w:rPr>
          </w:pPr>
        </w:p>
        <w:p w:rsidR="00EC379B" w:rsidRDefault="001074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055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0742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0742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0742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7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7425">
      <w:r>
        <w:separator/>
      </w:r>
    </w:p>
  </w:footnote>
  <w:footnote w:type="continuationSeparator" w:id="0">
    <w:p w:rsidR="00000000" w:rsidRDefault="00107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74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74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74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58"/>
    <w:rsid w:val="00107425"/>
    <w:rsid w:val="002B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75D01C-D8C3-4FFE-822F-D452258C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D03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0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03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0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0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4383</Characters>
  <Application>Microsoft Office Word</Application>
  <DocSecurity>4</DocSecurity>
  <Lines>95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HB01833 (Committee Report (Substituted))</vt:lpstr>
    </vt:vector>
  </TitlesOfParts>
  <Company>State of Texas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26502</dc:subject>
  <dc:creator>State of Texas</dc:creator>
  <dc:description>HB 1833 by Wray-(H)Business &amp; Industry (Substitute Document Number: 86R 16978)</dc:description>
  <cp:lastModifiedBy>Laura Ramsay</cp:lastModifiedBy>
  <cp:revision>2</cp:revision>
  <cp:lastPrinted>2003-11-26T17:21:00Z</cp:lastPrinted>
  <dcterms:created xsi:type="dcterms:W3CDTF">2019-04-18T15:20:00Z</dcterms:created>
  <dcterms:modified xsi:type="dcterms:W3CDTF">2019-04-18T15:20:00Z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19.101.1279</vt:lpwstr>
  </property>
</Properties>
</file>