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1626D" w:rsidTr="00345119">
        <w:tc>
          <w:tcPr>
            <w:tcW w:w="9576" w:type="dxa"/>
            <w:noWrap/>
          </w:tcPr>
          <w:p w:rsidR="008423E4" w:rsidRPr="0022177D" w:rsidRDefault="001C0DA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C0DA0" w:rsidP="008423E4">
      <w:pPr>
        <w:jc w:val="center"/>
      </w:pPr>
    </w:p>
    <w:p w:rsidR="008423E4" w:rsidRPr="00B31F0E" w:rsidRDefault="001C0DA0" w:rsidP="008423E4"/>
    <w:p w:rsidR="008423E4" w:rsidRPr="00742794" w:rsidRDefault="001C0DA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1626D" w:rsidTr="00345119">
        <w:tc>
          <w:tcPr>
            <w:tcW w:w="9576" w:type="dxa"/>
          </w:tcPr>
          <w:p w:rsidR="008423E4" w:rsidRPr="00861995" w:rsidRDefault="001C0DA0" w:rsidP="00136761">
            <w:pPr>
              <w:jc w:val="right"/>
            </w:pPr>
            <w:r>
              <w:t>H.B. 1839</w:t>
            </w:r>
          </w:p>
        </w:tc>
      </w:tr>
      <w:tr w:rsidR="00B1626D" w:rsidTr="00345119">
        <w:tc>
          <w:tcPr>
            <w:tcW w:w="9576" w:type="dxa"/>
          </w:tcPr>
          <w:p w:rsidR="008423E4" w:rsidRPr="00861995" w:rsidRDefault="001C0DA0" w:rsidP="00136761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B1626D" w:rsidTr="00345119">
        <w:tc>
          <w:tcPr>
            <w:tcW w:w="9576" w:type="dxa"/>
          </w:tcPr>
          <w:p w:rsidR="008423E4" w:rsidRPr="00861995" w:rsidRDefault="001C0DA0" w:rsidP="00136761">
            <w:pPr>
              <w:jc w:val="right"/>
            </w:pPr>
            <w:r>
              <w:t>Urban Affairs</w:t>
            </w:r>
          </w:p>
        </w:tc>
      </w:tr>
      <w:tr w:rsidR="00B1626D" w:rsidTr="00345119">
        <w:tc>
          <w:tcPr>
            <w:tcW w:w="9576" w:type="dxa"/>
          </w:tcPr>
          <w:p w:rsidR="008423E4" w:rsidRDefault="001C0DA0" w:rsidP="00136761">
            <w:pPr>
              <w:jc w:val="right"/>
            </w:pPr>
            <w:r>
              <w:t>Committee Report (Unamended)</w:t>
            </w:r>
          </w:p>
        </w:tc>
      </w:tr>
    </w:tbl>
    <w:p w:rsidR="008423E4" w:rsidRDefault="001C0DA0" w:rsidP="008423E4">
      <w:pPr>
        <w:tabs>
          <w:tab w:val="right" w:pos="9360"/>
        </w:tabs>
      </w:pPr>
    </w:p>
    <w:p w:rsidR="008423E4" w:rsidRDefault="001C0DA0" w:rsidP="008423E4"/>
    <w:p w:rsidR="008423E4" w:rsidRDefault="001C0DA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1626D" w:rsidTr="00345119">
        <w:tc>
          <w:tcPr>
            <w:tcW w:w="9576" w:type="dxa"/>
          </w:tcPr>
          <w:p w:rsidR="008423E4" w:rsidRPr="00A8133F" w:rsidRDefault="001C0DA0" w:rsidP="00082A4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C0DA0" w:rsidP="00082A42"/>
          <w:p w:rsidR="008423E4" w:rsidRDefault="001C0DA0" w:rsidP="00082A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>
              <w:t xml:space="preserve"> City of Houston has received </w:t>
            </w:r>
            <w:r>
              <w:t>federal funds</w:t>
            </w:r>
            <w:r>
              <w:t xml:space="preserve"> for housing disaster recovery</w:t>
            </w:r>
            <w:r>
              <w:t xml:space="preserve"> resulting from Hurricane Harvey</w:t>
            </w:r>
            <w:r>
              <w:t xml:space="preserve"> to be invested </w:t>
            </w:r>
            <w:r>
              <w:t>by a</w:t>
            </w:r>
            <w:r>
              <w:t xml:space="preserve"> certain deadline</w:t>
            </w:r>
            <w:r>
              <w:t xml:space="preserve">. </w:t>
            </w:r>
            <w:r>
              <w:t>Concerns have been raised</w:t>
            </w:r>
            <w:r>
              <w:t xml:space="preserve"> that a statutory change is needed relating to the allocation of housing tax credits </w:t>
            </w:r>
            <w:r>
              <w:t>so</w:t>
            </w:r>
            <w:r>
              <w:t xml:space="preserve"> the city</w:t>
            </w:r>
            <w:r>
              <w:t xml:space="preserve"> </w:t>
            </w:r>
            <w:r>
              <w:t>isn't required to stagger developments</w:t>
            </w:r>
            <w:r>
              <w:t xml:space="preserve"> over a longer period of time which would risk</w:t>
            </w:r>
            <w:r>
              <w:t xml:space="preserve"> </w:t>
            </w:r>
            <w:r>
              <w:t xml:space="preserve">missing the deadline and lead </w:t>
            </w:r>
            <w:r>
              <w:t xml:space="preserve">to </w:t>
            </w:r>
            <w:r>
              <w:t>the</w:t>
            </w:r>
            <w:r>
              <w:t xml:space="preserve"> possible</w:t>
            </w:r>
            <w:r>
              <w:t xml:space="preserve"> </w:t>
            </w:r>
            <w:r>
              <w:t>retraction of</w:t>
            </w:r>
            <w:r>
              <w:t xml:space="preserve"> </w:t>
            </w:r>
            <w:r>
              <w:t>federal</w:t>
            </w:r>
            <w:r>
              <w:t xml:space="preserve"> funds.</w:t>
            </w:r>
            <w:r>
              <w:t xml:space="preserve"> H.B. 1839 seeks to address this issue by </w:t>
            </w:r>
            <w:r w:rsidRPr="00554FA4">
              <w:t>add</w:t>
            </w:r>
            <w:r>
              <w:t>ing</w:t>
            </w:r>
            <w:r w:rsidRPr="00554FA4">
              <w:t xml:space="preserve"> a</w:t>
            </w:r>
            <w:r>
              <w:t xml:space="preserve"> certain</w:t>
            </w:r>
            <w:r w:rsidRPr="00554FA4">
              <w:t xml:space="preserve"> condition under which the governing board of the Texas Department of Housing and Community Affairs may in the same calendar year allocate housing tax cre</w:t>
            </w:r>
            <w:r w:rsidRPr="00554FA4">
              <w:t xml:space="preserve">dits to more than one development in </w:t>
            </w:r>
            <w:r>
              <w:t>certain</w:t>
            </w:r>
            <w:r w:rsidRPr="00554FA4">
              <w:t xml:space="preserve"> communit</w:t>
            </w:r>
            <w:r>
              <w:t>ies.</w:t>
            </w:r>
          </w:p>
          <w:p w:rsidR="008423E4" w:rsidRPr="00E26B13" w:rsidRDefault="001C0DA0" w:rsidP="00082A42">
            <w:pPr>
              <w:rPr>
                <w:b/>
              </w:rPr>
            </w:pPr>
          </w:p>
        </w:tc>
      </w:tr>
      <w:tr w:rsidR="00B1626D" w:rsidTr="00345119">
        <w:tc>
          <w:tcPr>
            <w:tcW w:w="9576" w:type="dxa"/>
          </w:tcPr>
          <w:p w:rsidR="0017725B" w:rsidRDefault="001C0DA0" w:rsidP="00082A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C0DA0" w:rsidP="00082A42">
            <w:pPr>
              <w:rPr>
                <w:b/>
                <w:u w:val="single"/>
              </w:rPr>
            </w:pPr>
          </w:p>
          <w:p w:rsidR="00861C5A" w:rsidRPr="00861C5A" w:rsidRDefault="001C0DA0" w:rsidP="00082A4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1C0DA0" w:rsidP="00082A42">
            <w:pPr>
              <w:rPr>
                <w:b/>
                <w:u w:val="single"/>
              </w:rPr>
            </w:pPr>
          </w:p>
        </w:tc>
      </w:tr>
      <w:tr w:rsidR="00B1626D" w:rsidTr="00345119">
        <w:tc>
          <w:tcPr>
            <w:tcW w:w="9576" w:type="dxa"/>
          </w:tcPr>
          <w:p w:rsidR="008423E4" w:rsidRPr="00A8133F" w:rsidRDefault="001C0DA0" w:rsidP="00082A4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C0DA0" w:rsidP="00082A42"/>
          <w:p w:rsidR="00861C5A" w:rsidRDefault="001C0DA0" w:rsidP="00082A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:rsidR="008423E4" w:rsidRPr="00E21FDC" w:rsidRDefault="001C0DA0" w:rsidP="00082A42">
            <w:pPr>
              <w:rPr>
                <w:b/>
              </w:rPr>
            </w:pPr>
          </w:p>
        </w:tc>
      </w:tr>
      <w:tr w:rsidR="00B1626D" w:rsidTr="00345119">
        <w:tc>
          <w:tcPr>
            <w:tcW w:w="9576" w:type="dxa"/>
          </w:tcPr>
          <w:p w:rsidR="008423E4" w:rsidRPr="00A8133F" w:rsidRDefault="001C0DA0" w:rsidP="00082A4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C0DA0" w:rsidP="00082A42"/>
          <w:p w:rsidR="008423E4" w:rsidRDefault="001C0DA0" w:rsidP="00082A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1839 amends the Government Code to</w:t>
            </w:r>
            <w:r>
              <w:t xml:space="preserve"> </w:t>
            </w:r>
            <w:r>
              <w:t>add as a</w:t>
            </w:r>
            <w:r>
              <w:t xml:space="preserve"> </w:t>
            </w:r>
            <w:r>
              <w:t>condition</w:t>
            </w:r>
            <w:r>
              <w:t xml:space="preserve"> under which </w:t>
            </w:r>
            <w:r>
              <w:t xml:space="preserve">the governing board of the Texas Department of Housing and Community Affairs (TDHCA) </w:t>
            </w:r>
            <w:r>
              <w:t>may</w:t>
            </w:r>
            <w:r>
              <w:t xml:space="preserve"> in the same calendar year</w:t>
            </w:r>
            <w:r>
              <w:t xml:space="preserve"> allocate housing tax credits</w:t>
            </w:r>
            <w:r>
              <w:t xml:space="preserve"> under the </w:t>
            </w:r>
            <w:r w:rsidRPr="00B950CA">
              <w:t>low income housing tax credit program</w:t>
            </w:r>
            <w:r>
              <w:t xml:space="preserve"> to more than one development in a single community</w:t>
            </w:r>
            <w:r>
              <w:t xml:space="preserve"> </w:t>
            </w:r>
            <w:r w:rsidRPr="00B950CA">
              <w:t>contained within counties with populations exceeding one million</w:t>
            </w:r>
            <w:r>
              <w:t xml:space="preserve"> </w:t>
            </w:r>
            <w:r>
              <w:t>that</w:t>
            </w:r>
            <w:r>
              <w:t xml:space="preserve"> the govern</w:t>
            </w:r>
            <w:r>
              <w:t>ing</w:t>
            </w:r>
            <w:r>
              <w:t xml:space="preserve"> body of the municipality or county contain</w:t>
            </w:r>
            <w:r>
              <w:t>i</w:t>
            </w:r>
            <w:r>
              <w:t>ng</w:t>
            </w:r>
            <w:r>
              <w:t xml:space="preserve"> the development</w:t>
            </w:r>
            <w:r>
              <w:t>, as applicable,</w:t>
            </w:r>
            <w:r>
              <w:t xml:space="preserve"> specifically authoriz</w:t>
            </w:r>
            <w:r>
              <w:t>e by vote</w:t>
            </w:r>
            <w:r>
              <w:t xml:space="preserve"> the allocation of housing tax credits for the development.</w:t>
            </w:r>
            <w:r>
              <w:t xml:space="preserve"> The bill appl</w:t>
            </w:r>
            <w:r>
              <w:t>ies</w:t>
            </w:r>
            <w:r>
              <w:t xml:space="preserve"> only to an application for low income housing tax credits that is submitted to the TDHCA during an application cyc</w:t>
            </w:r>
            <w:r>
              <w:t xml:space="preserve">le that is based on the 2020 qualified allocation plan or a subsequent plan adopted by the </w:t>
            </w:r>
            <w:r>
              <w:t xml:space="preserve">TDHCA </w:t>
            </w:r>
            <w:r>
              <w:t xml:space="preserve">governing </w:t>
            </w:r>
            <w:r>
              <w:t>board</w:t>
            </w:r>
            <w:r>
              <w:t>.</w:t>
            </w:r>
          </w:p>
          <w:p w:rsidR="008423E4" w:rsidRPr="00835628" w:rsidRDefault="001C0DA0" w:rsidP="00082A42">
            <w:pPr>
              <w:rPr>
                <w:b/>
              </w:rPr>
            </w:pPr>
          </w:p>
        </w:tc>
      </w:tr>
      <w:tr w:rsidR="00B1626D" w:rsidTr="00345119">
        <w:tc>
          <w:tcPr>
            <w:tcW w:w="9576" w:type="dxa"/>
          </w:tcPr>
          <w:p w:rsidR="008423E4" w:rsidRPr="00A8133F" w:rsidRDefault="001C0DA0" w:rsidP="00082A4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C0DA0" w:rsidP="00082A42"/>
          <w:p w:rsidR="008423E4" w:rsidRPr="003624F2" w:rsidRDefault="001C0DA0" w:rsidP="00082A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C0DA0" w:rsidP="00082A42">
            <w:pPr>
              <w:rPr>
                <w:b/>
              </w:rPr>
            </w:pPr>
          </w:p>
        </w:tc>
      </w:tr>
    </w:tbl>
    <w:p w:rsidR="008423E4" w:rsidRPr="00BE0E75" w:rsidRDefault="001C0DA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C0DA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0DA0">
      <w:r>
        <w:separator/>
      </w:r>
    </w:p>
  </w:endnote>
  <w:endnote w:type="continuationSeparator" w:id="0">
    <w:p w:rsidR="00000000" w:rsidRDefault="001C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0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1626D" w:rsidTr="009C1E9A">
      <w:trPr>
        <w:cantSplit/>
      </w:trPr>
      <w:tc>
        <w:tcPr>
          <w:tcW w:w="0" w:type="pct"/>
        </w:tcPr>
        <w:p w:rsidR="00137D90" w:rsidRDefault="001C0D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C0DA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C0DA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C0D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C0D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626D" w:rsidTr="009C1E9A">
      <w:trPr>
        <w:cantSplit/>
      </w:trPr>
      <w:tc>
        <w:tcPr>
          <w:tcW w:w="0" w:type="pct"/>
        </w:tcPr>
        <w:p w:rsidR="00EC379B" w:rsidRDefault="001C0D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C0DA0" w:rsidP="00136761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20230</w:t>
          </w:r>
        </w:p>
      </w:tc>
      <w:tc>
        <w:tcPr>
          <w:tcW w:w="2453" w:type="pct"/>
        </w:tcPr>
        <w:p w:rsidR="00EC379B" w:rsidRDefault="001C0D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19.76.244</w:t>
          </w:r>
          <w:r>
            <w:fldChar w:fldCharType="end"/>
          </w:r>
        </w:p>
      </w:tc>
    </w:tr>
    <w:tr w:rsidR="00B1626D" w:rsidTr="009C1E9A">
      <w:trPr>
        <w:cantSplit/>
      </w:trPr>
      <w:tc>
        <w:tcPr>
          <w:tcW w:w="0" w:type="pct"/>
        </w:tcPr>
        <w:p w:rsidR="00EC379B" w:rsidRDefault="001C0DA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C0DA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C0DA0" w:rsidP="006D504F">
          <w:pPr>
            <w:pStyle w:val="Footer"/>
            <w:rPr>
              <w:rStyle w:val="PageNumber"/>
            </w:rPr>
          </w:pPr>
        </w:p>
        <w:p w:rsidR="00EC379B" w:rsidRDefault="001C0D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626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C0DA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C0DA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C0DA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0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0DA0">
      <w:r>
        <w:separator/>
      </w:r>
    </w:p>
  </w:footnote>
  <w:footnote w:type="continuationSeparator" w:id="0">
    <w:p w:rsidR="00000000" w:rsidRDefault="001C0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0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0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0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6D"/>
    <w:rsid w:val="001C0DA0"/>
    <w:rsid w:val="00B1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79F4BA-7FBC-4CA9-924D-27D2485D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61C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1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1C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1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1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1810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HB01839 (Committee Report (Unamended))</vt:lpstr>
    </vt:vector>
  </TitlesOfParts>
  <Company>State of Texas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20230</dc:subject>
  <dc:creator>State of Texas</dc:creator>
  <dc:description>HB 1839 by Thompson, Senfronia-(H)Urban Affairs</dc:description>
  <cp:lastModifiedBy>Laura Ramsay</cp:lastModifiedBy>
  <cp:revision>2</cp:revision>
  <cp:lastPrinted>2003-11-26T17:21:00Z</cp:lastPrinted>
  <dcterms:created xsi:type="dcterms:W3CDTF">2019-03-28T19:49:00Z</dcterms:created>
  <dcterms:modified xsi:type="dcterms:W3CDTF">2019-03-28T19:49:00Z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19.76.244</vt:lpwstr>
  </property>
</Properties>
</file>