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A33F28" w:rsidTr="00345119">
        <w:tc>
          <w:tcPr>
            <w:tcW w:w="9576" w:type="dxa"/>
            <w:noWrap/>
          </w:tcPr>
          <w:p w:rsidR="008423E4" w:rsidRPr="0022177D" w:rsidRDefault="00DD54D6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DD54D6" w:rsidP="008423E4">
      <w:pPr>
        <w:jc w:val="center"/>
      </w:pPr>
    </w:p>
    <w:p w:rsidR="008423E4" w:rsidRPr="00B31F0E" w:rsidRDefault="00DD54D6" w:rsidP="008423E4"/>
    <w:p w:rsidR="008423E4" w:rsidRPr="00742794" w:rsidRDefault="00DD54D6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33F28" w:rsidTr="00345119">
        <w:tc>
          <w:tcPr>
            <w:tcW w:w="9576" w:type="dxa"/>
          </w:tcPr>
          <w:p w:rsidR="008423E4" w:rsidRPr="00861995" w:rsidRDefault="00DD54D6" w:rsidP="00345119">
            <w:pPr>
              <w:jc w:val="right"/>
            </w:pPr>
            <w:r>
              <w:t>C.S.H.B. 1849</w:t>
            </w:r>
          </w:p>
        </w:tc>
      </w:tr>
      <w:tr w:rsidR="00A33F28" w:rsidTr="00345119">
        <w:tc>
          <w:tcPr>
            <w:tcW w:w="9576" w:type="dxa"/>
          </w:tcPr>
          <w:p w:rsidR="008423E4" w:rsidRPr="00861995" w:rsidRDefault="00DD54D6" w:rsidP="004D48E9">
            <w:pPr>
              <w:jc w:val="right"/>
            </w:pPr>
            <w:r>
              <w:t xml:space="preserve">By: </w:t>
            </w:r>
            <w:r>
              <w:t>Klick</w:t>
            </w:r>
          </w:p>
        </w:tc>
      </w:tr>
      <w:tr w:rsidR="00A33F28" w:rsidTr="00345119">
        <w:tc>
          <w:tcPr>
            <w:tcW w:w="9576" w:type="dxa"/>
          </w:tcPr>
          <w:p w:rsidR="008423E4" w:rsidRPr="00861995" w:rsidRDefault="00DD54D6" w:rsidP="00345119">
            <w:pPr>
              <w:jc w:val="right"/>
            </w:pPr>
            <w:r>
              <w:t>Public Health</w:t>
            </w:r>
          </w:p>
        </w:tc>
      </w:tr>
      <w:tr w:rsidR="00A33F28" w:rsidTr="00345119">
        <w:tc>
          <w:tcPr>
            <w:tcW w:w="9576" w:type="dxa"/>
          </w:tcPr>
          <w:p w:rsidR="008423E4" w:rsidRDefault="00DD54D6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DD54D6" w:rsidP="008423E4">
      <w:pPr>
        <w:tabs>
          <w:tab w:val="right" w:pos="9360"/>
        </w:tabs>
      </w:pPr>
    </w:p>
    <w:p w:rsidR="008423E4" w:rsidRDefault="00DD54D6" w:rsidP="008423E4"/>
    <w:p w:rsidR="008423E4" w:rsidRDefault="00DD54D6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A33F28" w:rsidTr="00345119">
        <w:tc>
          <w:tcPr>
            <w:tcW w:w="9576" w:type="dxa"/>
          </w:tcPr>
          <w:p w:rsidR="008423E4" w:rsidRPr="00A8133F" w:rsidRDefault="00DD54D6" w:rsidP="003539D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DD54D6" w:rsidP="003539DD"/>
          <w:p w:rsidR="008423E4" w:rsidRDefault="00DD54D6" w:rsidP="003B44DB">
            <w:pPr>
              <w:pStyle w:val="Header"/>
              <w:jc w:val="both"/>
            </w:pPr>
            <w:r>
              <w:t>There have been calls to authorize</w:t>
            </w:r>
            <w:r>
              <w:t xml:space="preserve"> day-care centers to stock and administer epinephrine auto</w:t>
            </w:r>
            <w:r>
              <w:noBreakHyphen/>
            </w:r>
            <w:r>
              <w:t xml:space="preserve">injectors to treat individuals suffering from anaphylaxis. </w:t>
            </w:r>
            <w:r>
              <w:t>C.S.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1849 seeks to </w:t>
            </w:r>
            <w:r>
              <w:t xml:space="preserve">answer these calls by </w:t>
            </w:r>
            <w:r>
              <w:t>authoriz</w:t>
            </w:r>
            <w:r>
              <w:t>ing</w:t>
            </w:r>
            <w:r>
              <w:t xml:space="preserve"> a physician to prescribe epinephrine auto-injectors in the name of a day-care center</w:t>
            </w:r>
            <w:r>
              <w:t>.</w:t>
            </w:r>
          </w:p>
          <w:p w:rsidR="00B64197" w:rsidRPr="00E26B13" w:rsidRDefault="00DD54D6" w:rsidP="003539DD">
            <w:pPr>
              <w:rPr>
                <w:b/>
              </w:rPr>
            </w:pPr>
          </w:p>
        </w:tc>
      </w:tr>
      <w:tr w:rsidR="00A33F28" w:rsidTr="00345119">
        <w:tc>
          <w:tcPr>
            <w:tcW w:w="9576" w:type="dxa"/>
          </w:tcPr>
          <w:p w:rsidR="0017725B" w:rsidRDefault="00DD54D6" w:rsidP="003539D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DD54D6" w:rsidP="003539DD">
            <w:pPr>
              <w:rPr>
                <w:b/>
                <w:u w:val="single"/>
              </w:rPr>
            </w:pPr>
          </w:p>
          <w:p w:rsidR="0017725B" w:rsidRDefault="00DD54D6" w:rsidP="003B44DB">
            <w:pPr>
              <w:jc w:val="both"/>
              <w:rPr>
                <w:b/>
                <w:u w:val="single"/>
              </w:rPr>
            </w:pPr>
            <w:r>
              <w:t>It is the committee's opini</w:t>
            </w:r>
            <w:r>
              <w:t>on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B64197" w:rsidRPr="0017725B" w:rsidRDefault="00DD54D6" w:rsidP="003539DD">
            <w:pPr>
              <w:rPr>
                <w:b/>
                <w:u w:val="single"/>
              </w:rPr>
            </w:pPr>
          </w:p>
        </w:tc>
      </w:tr>
      <w:tr w:rsidR="00A33F28" w:rsidTr="00345119">
        <w:tc>
          <w:tcPr>
            <w:tcW w:w="9576" w:type="dxa"/>
          </w:tcPr>
          <w:p w:rsidR="008423E4" w:rsidRPr="00A8133F" w:rsidRDefault="00DD54D6" w:rsidP="003539D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</w:t>
            </w:r>
            <w:r w:rsidRPr="009C1E9A">
              <w:rPr>
                <w:b/>
                <w:u w:val="single"/>
              </w:rPr>
              <w:t>G AUTHORITY</w:t>
            </w:r>
            <w:r>
              <w:rPr>
                <w:b/>
              </w:rPr>
              <w:t xml:space="preserve"> </w:t>
            </w:r>
          </w:p>
          <w:p w:rsidR="008423E4" w:rsidRDefault="00DD54D6" w:rsidP="003539DD"/>
          <w:p w:rsidR="008423E4" w:rsidRDefault="00DD54D6" w:rsidP="003B44D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B64197" w:rsidRPr="00E21FDC" w:rsidRDefault="00DD54D6" w:rsidP="003539DD">
            <w:pPr>
              <w:rPr>
                <w:b/>
              </w:rPr>
            </w:pPr>
          </w:p>
        </w:tc>
      </w:tr>
      <w:tr w:rsidR="00A33F28" w:rsidTr="00345119">
        <w:tc>
          <w:tcPr>
            <w:tcW w:w="9576" w:type="dxa"/>
          </w:tcPr>
          <w:p w:rsidR="008423E4" w:rsidRPr="00A8133F" w:rsidRDefault="00DD54D6" w:rsidP="003539D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B64197" w:rsidRDefault="00DD54D6" w:rsidP="003539DD">
            <w:pPr>
              <w:pStyle w:val="Header"/>
              <w:jc w:val="both"/>
            </w:pPr>
          </w:p>
          <w:p w:rsidR="00C10679" w:rsidRDefault="00DD54D6" w:rsidP="003539DD">
            <w:pPr>
              <w:pStyle w:val="Header"/>
              <w:jc w:val="both"/>
            </w:pPr>
            <w:r>
              <w:t>C.S.</w:t>
            </w:r>
            <w:r>
              <w:t xml:space="preserve">H.B. 1849 amends the Human Resources Code to authorize a </w:t>
            </w:r>
            <w:r>
              <w:t xml:space="preserve">state licensed </w:t>
            </w:r>
            <w:r>
              <w:t>physician, or a person who has been delegated prescriptive authority, to prescribe epinephrine auto-injectors in the name of a day-care center</w:t>
            </w:r>
            <w:r>
              <w:t>.</w:t>
            </w:r>
            <w:r>
              <w:t xml:space="preserve"> </w:t>
            </w:r>
            <w:r>
              <w:t>The</w:t>
            </w:r>
            <w:r>
              <w:t xml:space="preserve"> </w:t>
            </w:r>
            <w:r>
              <w:t xml:space="preserve">bill </w:t>
            </w:r>
            <w:r>
              <w:t>require</w:t>
            </w:r>
            <w:r>
              <w:t>s</w:t>
            </w:r>
            <w:r>
              <w:t xml:space="preserve"> </w:t>
            </w:r>
            <w:r>
              <w:t>the</w:t>
            </w:r>
            <w:r>
              <w:t xml:space="preserve"> physician or other person who prescribes </w:t>
            </w:r>
            <w:r>
              <w:t xml:space="preserve">the </w:t>
            </w:r>
            <w:r>
              <w:t xml:space="preserve">epinephrine auto-injectors to </w:t>
            </w:r>
            <w:r>
              <w:t>provide the day-care center with a standing order for the administration of an epinephrine auto-injector to a person reasonably believed to be experiencing anaphylaxis</w:t>
            </w:r>
            <w:r>
              <w:t xml:space="preserve">. </w:t>
            </w:r>
            <w:r>
              <w:t xml:space="preserve">The bill </w:t>
            </w:r>
            <w:r>
              <w:t xml:space="preserve">sets out the required contents of the standing order, </w:t>
            </w:r>
            <w:r>
              <w:t>establishes that the</w:t>
            </w:r>
            <w:r w:rsidRPr="006C285A">
              <w:t xml:space="preserve"> ord</w:t>
            </w:r>
            <w:r w:rsidRPr="006C285A">
              <w:t>er is not required to be patient-specific</w:t>
            </w:r>
            <w:r>
              <w:t>, and</w:t>
            </w:r>
            <w:r>
              <w:t xml:space="preserve"> authorizes a</w:t>
            </w:r>
            <w:r w:rsidRPr="006C285A">
              <w:t xml:space="preserve">n epinephrine auto-injector </w:t>
            </w:r>
            <w:r>
              <w:t>to</w:t>
            </w:r>
            <w:r w:rsidRPr="006C285A">
              <w:t xml:space="preserve"> be </w:t>
            </w:r>
            <w:r>
              <w:t xml:space="preserve">administered </w:t>
            </w:r>
            <w:r>
              <w:t>under the order</w:t>
            </w:r>
            <w:r>
              <w:t xml:space="preserve"> </w:t>
            </w:r>
            <w:r w:rsidRPr="006C285A">
              <w:t>to a person without a previously established physician-patient relationship.</w:t>
            </w:r>
            <w:r>
              <w:t xml:space="preserve"> </w:t>
            </w:r>
          </w:p>
          <w:p w:rsidR="00C10679" w:rsidRDefault="00DD54D6" w:rsidP="003539DD">
            <w:pPr>
              <w:pStyle w:val="Header"/>
              <w:jc w:val="both"/>
            </w:pPr>
          </w:p>
          <w:p w:rsidR="00FE2758" w:rsidRDefault="00DD54D6" w:rsidP="003539DD">
            <w:pPr>
              <w:pStyle w:val="Header"/>
              <w:jc w:val="both"/>
            </w:pPr>
            <w:r w:rsidRPr="00A333F2">
              <w:t>C.S.H.B. 1849</w:t>
            </w:r>
            <w:r>
              <w:t xml:space="preserve"> establishes that supervision or delegatio</w:t>
            </w:r>
            <w:r>
              <w:t xml:space="preserve">n by a physician is considered adequate if the physician periodically reviews the order and is available through direct telecommunication as needed for consultation, assistance, and direction. </w:t>
            </w:r>
            <w:r>
              <w:t xml:space="preserve">The bill </w:t>
            </w:r>
            <w:r>
              <w:t>makes</w:t>
            </w:r>
            <w:r>
              <w:t xml:space="preserve"> each </w:t>
            </w:r>
            <w:r w:rsidRPr="000A1160">
              <w:t xml:space="preserve">day-care center responsible for training </w:t>
            </w:r>
            <w:r>
              <w:t>em</w:t>
            </w:r>
            <w:r>
              <w:t>ployees</w:t>
            </w:r>
            <w:r w:rsidRPr="000A1160">
              <w:t xml:space="preserve"> </w:t>
            </w:r>
            <w:r w:rsidRPr="000A1160">
              <w:t>in the administration of an epinephrine auto</w:t>
            </w:r>
            <w:r>
              <w:noBreakHyphen/>
            </w:r>
            <w:r w:rsidRPr="000A1160">
              <w:t>injector</w:t>
            </w:r>
            <w:r>
              <w:t xml:space="preserve">, </w:t>
            </w:r>
            <w:r>
              <w:t xml:space="preserve">sets out </w:t>
            </w:r>
            <w:r>
              <w:t xml:space="preserve">requirements for the </w:t>
            </w:r>
            <w:r>
              <w:t>training</w:t>
            </w:r>
            <w:r>
              <w:t xml:space="preserve">, requires each day-care center to maintain </w:t>
            </w:r>
            <w:r>
              <w:t xml:space="preserve">records </w:t>
            </w:r>
            <w:r>
              <w:t>on the training</w:t>
            </w:r>
            <w:r>
              <w:t xml:space="preserve">, and authorizes the auto-injector to be dispensed </w:t>
            </w:r>
            <w:r>
              <w:t xml:space="preserve">by a pharmacist </w:t>
            </w:r>
            <w:r>
              <w:t>without requiring any</w:t>
            </w:r>
            <w:r>
              <w:t xml:space="preserve"> identifying information relating to the user</w:t>
            </w:r>
            <w:r>
              <w:t>.</w:t>
            </w:r>
            <w:r>
              <w:t xml:space="preserve"> </w:t>
            </w:r>
          </w:p>
          <w:p w:rsidR="005B1228" w:rsidRDefault="00DD54D6" w:rsidP="003539DD">
            <w:pPr>
              <w:jc w:val="both"/>
            </w:pPr>
          </w:p>
          <w:p w:rsidR="005B1228" w:rsidRPr="00A333F2" w:rsidRDefault="00DD54D6" w:rsidP="003539DD">
            <w:pPr>
              <w:jc w:val="both"/>
            </w:pPr>
            <w:r w:rsidRPr="00A333F2">
              <w:t xml:space="preserve">C.S.H.B. 1849 requires the day-care center, not later than the 10th business day after the date a an employee administers an epinephrine auto-injector, to report certain information </w:t>
            </w:r>
            <w:r>
              <w:t xml:space="preserve">prescribed by the bill </w:t>
            </w:r>
            <w:r w:rsidRPr="00A333F2">
              <w:t>ab</w:t>
            </w:r>
            <w:r w:rsidRPr="00A333F2">
              <w:t>out that administration to the following:</w:t>
            </w:r>
          </w:p>
          <w:p w:rsidR="005B1228" w:rsidRPr="00A333F2" w:rsidRDefault="00DD54D6" w:rsidP="003539DD">
            <w:pPr>
              <w:pStyle w:val="ListParagraph"/>
              <w:numPr>
                <w:ilvl w:val="0"/>
                <w:numId w:val="3"/>
              </w:numPr>
              <w:spacing w:before="120" w:after="120"/>
              <w:jc w:val="both"/>
            </w:pPr>
            <w:r w:rsidRPr="00A333F2">
              <w:t>the day-care center</w:t>
            </w:r>
            <w:r>
              <w:t>'s owner</w:t>
            </w:r>
            <w:r w:rsidRPr="00A333F2">
              <w:t>;</w:t>
            </w:r>
          </w:p>
          <w:p w:rsidR="005B1228" w:rsidRPr="00A333F2" w:rsidRDefault="00DD54D6" w:rsidP="003539DD">
            <w:pPr>
              <w:pStyle w:val="ListParagraph"/>
              <w:numPr>
                <w:ilvl w:val="0"/>
                <w:numId w:val="3"/>
              </w:numPr>
              <w:spacing w:before="120" w:after="120"/>
              <w:jc w:val="both"/>
            </w:pPr>
            <w:r w:rsidRPr="00A333F2">
              <w:t>the physician or other person who prescribed the epinephrine auto-injector;</w:t>
            </w:r>
          </w:p>
          <w:p w:rsidR="005B1228" w:rsidRDefault="00DD54D6" w:rsidP="003539DD">
            <w:pPr>
              <w:pStyle w:val="ListParagraph"/>
              <w:numPr>
                <w:ilvl w:val="0"/>
                <w:numId w:val="3"/>
              </w:numPr>
              <w:spacing w:before="120" w:after="120"/>
              <w:jc w:val="both"/>
            </w:pPr>
            <w:r w:rsidRPr="00A333F2">
              <w:t>the Health and Human Services Commission; and</w:t>
            </w:r>
          </w:p>
          <w:p w:rsidR="00FE2758" w:rsidRDefault="00DD54D6" w:rsidP="003539DD">
            <w:pPr>
              <w:pStyle w:val="ListParagraph"/>
              <w:numPr>
                <w:ilvl w:val="0"/>
                <w:numId w:val="3"/>
              </w:numPr>
              <w:spacing w:before="120" w:after="120"/>
              <w:jc w:val="both"/>
            </w:pPr>
            <w:r w:rsidRPr="00A333F2">
              <w:t>the Department of State Health Services.</w:t>
            </w:r>
          </w:p>
          <w:p w:rsidR="005B1228" w:rsidRDefault="00DD54D6" w:rsidP="003539DD">
            <w:pPr>
              <w:pStyle w:val="Header"/>
              <w:jc w:val="both"/>
            </w:pPr>
          </w:p>
          <w:p w:rsidR="00E207AC" w:rsidRDefault="00DD54D6" w:rsidP="003B44DB">
            <w:pPr>
              <w:pStyle w:val="Header"/>
              <w:jc w:val="both"/>
            </w:pPr>
            <w:r>
              <w:t>C.S.</w:t>
            </w:r>
            <w:r>
              <w:t>H.B. 1849</w:t>
            </w:r>
            <w:r>
              <w:t xml:space="preserve"> </w:t>
            </w:r>
            <w:r>
              <w:t>grants</w:t>
            </w:r>
            <w:r>
              <w:t xml:space="preserve"> a</w:t>
            </w:r>
            <w:r w:rsidRPr="000A1160">
              <w:t xml:space="preserve"> person who in good faith takes, or fails to take, action relating to the prescription of an epinephrine auto-injector to a day-care center or the administration of an epinephrine auto-injector in a day-care center </w:t>
            </w:r>
            <w:r>
              <w:t>immunity</w:t>
            </w:r>
            <w:r w:rsidRPr="000A1160">
              <w:t xml:space="preserve"> from civil or criminal liabili</w:t>
            </w:r>
            <w:r w:rsidRPr="000A1160">
              <w:t>ty or disciplinary action resulting from that action or failure to act</w:t>
            </w:r>
            <w:r>
              <w:t>.</w:t>
            </w:r>
            <w:r>
              <w:t xml:space="preserve"> </w:t>
            </w:r>
            <w:r>
              <w:t>Those</w:t>
            </w:r>
            <w:r>
              <w:t xml:space="preserve"> </w:t>
            </w:r>
            <w:r w:rsidRPr="00812D71">
              <w:t xml:space="preserve">immunities and protections </w:t>
            </w:r>
            <w:r>
              <w:t>are</w:t>
            </w:r>
            <w:r>
              <w:t xml:space="preserve"> </w:t>
            </w:r>
            <w:r w:rsidRPr="00812D71">
              <w:t>in addition to other immunities or limitations o</w:t>
            </w:r>
            <w:r>
              <w:t>f liability provided by law</w:t>
            </w:r>
            <w:r>
              <w:t>.</w:t>
            </w:r>
            <w:r>
              <w:t xml:space="preserve"> </w:t>
            </w:r>
            <w:r>
              <w:t>The</w:t>
            </w:r>
            <w:r>
              <w:t xml:space="preserve"> </w:t>
            </w:r>
            <w:r>
              <w:t xml:space="preserve">bill </w:t>
            </w:r>
            <w:r>
              <w:t xml:space="preserve">establishes that </w:t>
            </w:r>
            <w:r>
              <w:t>its provisions</w:t>
            </w:r>
            <w:r>
              <w:t xml:space="preserve"> do not create a civil, crimin</w:t>
            </w:r>
            <w:r>
              <w:t xml:space="preserve">al, or administrative cause of action or liability or create a standard of care, obligation, or duty that provides a basis for a cause of action for an act or omission under the bill's provisions and that an act or omission described by </w:t>
            </w:r>
            <w:r>
              <w:t xml:space="preserve">those </w:t>
            </w:r>
            <w:r>
              <w:t>provisions do</w:t>
            </w:r>
            <w:r>
              <w:t>es not create a cause of action.</w:t>
            </w:r>
            <w:r>
              <w:t xml:space="preserve"> </w:t>
            </w:r>
          </w:p>
          <w:p w:rsidR="00B64197" w:rsidRPr="00835628" w:rsidRDefault="00DD54D6" w:rsidP="003539DD">
            <w:pPr>
              <w:rPr>
                <w:b/>
              </w:rPr>
            </w:pPr>
          </w:p>
        </w:tc>
      </w:tr>
      <w:tr w:rsidR="00A33F28" w:rsidTr="00345119">
        <w:tc>
          <w:tcPr>
            <w:tcW w:w="9576" w:type="dxa"/>
          </w:tcPr>
          <w:p w:rsidR="008423E4" w:rsidRPr="00A8133F" w:rsidRDefault="00DD54D6" w:rsidP="003539D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DD54D6" w:rsidP="003539DD"/>
          <w:p w:rsidR="008423E4" w:rsidRDefault="00DD54D6" w:rsidP="003B44D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B64197" w:rsidRPr="00233FDB" w:rsidRDefault="00DD54D6" w:rsidP="003539DD">
            <w:pPr>
              <w:rPr>
                <w:b/>
              </w:rPr>
            </w:pPr>
          </w:p>
        </w:tc>
      </w:tr>
      <w:tr w:rsidR="00A33F28" w:rsidTr="00345119">
        <w:tc>
          <w:tcPr>
            <w:tcW w:w="9576" w:type="dxa"/>
          </w:tcPr>
          <w:p w:rsidR="00FD25C9" w:rsidRPr="00FD25C9" w:rsidRDefault="00DD54D6" w:rsidP="003539D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B64197" w:rsidRDefault="00DD54D6" w:rsidP="003539DD">
            <w:pPr>
              <w:jc w:val="both"/>
            </w:pPr>
          </w:p>
          <w:p w:rsidR="00FD25C9" w:rsidRDefault="00DD54D6" w:rsidP="003539DD">
            <w:pPr>
              <w:jc w:val="both"/>
            </w:pPr>
            <w:r>
              <w:t>While C.S.H.B. 1849 may differ from the original in minor or nonsubstantive wa</w:t>
            </w:r>
            <w:r>
              <w:t>ys, the following summarizes the substantial differences between the introduced and committee substitute versions of the bill.</w:t>
            </w:r>
          </w:p>
          <w:p w:rsidR="00FD25C9" w:rsidRDefault="00DD54D6" w:rsidP="003539DD">
            <w:pPr>
              <w:jc w:val="both"/>
            </w:pPr>
          </w:p>
          <w:p w:rsidR="00FD25C9" w:rsidRPr="00FD25C9" w:rsidRDefault="00DD54D6" w:rsidP="003539DD">
            <w:pPr>
              <w:jc w:val="both"/>
            </w:pPr>
            <w:r>
              <w:t xml:space="preserve">The substitute includes a provision that requires </w:t>
            </w:r>
            <w:r>
              <w:t xml:space="preserve">a day-care center to report </w:t>
            </w:r>
            <w:r>
              <w:t xml:space="preserve">certain information </w:t>
            </w:r>
            <w:r>
              <w:t>after</w:t>
            </w:r>
            <w:r>
              <w:t xml:space="preserve"> an </w:t>
            </w:r>
            <w:r w:rsidRPr="00FD25C9">
              <w:t xml:space="preserve">epinephrine </w:t>
            </w:r>
            <w:r w:rsidRPr="00FD25C9">
              <w:t>auto-injector</w:t>
            </w:r>
            <w:r>
              <w:t xml:space="preserve"> </w:t>
            </w:r>
            <w:r>
              <w:t>is administered</w:t>
            </w:r>
            <w:r>
              <w:t>.</w:t>
            </w:r>
          </w:p>
        </w:tc>
      </w:tr>
      <w:tr w:rsidR="00A33F28" w:rsidTr="00345119">
        <w:tc>
          <w:tcPr>
            <w:tcW w:w="9576" w:type="dxa"/>
          </w:tcPr>
          <w:p w:rsidR="004D48E9" w:rsidRPr="009C1E9A" w:rsidRDefault="00DD54D6" w:rsidP="003539DD">
            <w:pPr>
              <w:rPr>
                <w:b/>
                <w:u w:val="single"/>
              </w:rPr>
            </w:pPr>
          </w:p>
        </w:tc>
      </w:tr>
      <w:tr w:rsidR="00A33F28" w:rsidTr="00345119">
        <w:tc>
          <w:tcPr>
            <w:tcW w:w="9576" w:type="dxa"/>
          </w:tcPr>
          <w:p w:rsidR="004D48E9" w:rsidRPr="004D48E9" w:rsidRDefault="00DD54D6" w:rsidP="003539DD">
            <w:pPr>
              <w:jc w:val="both"/>
            </w:pPr>
          </w:p>
        </w:tc>
      </w:tr>
    </w:tbl>
    <w:p w:rsidR="008423E4" w:rsidRPr="00BE0E75" w:rsidRDefault="00DD54D6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DD54D6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D54D6">
      <w:r>
        <w:separator/>
      </w:r>
    </w:p>
  </w:endnote>
  <w:endnote w:type="continuationSeparator" w:id="0">
    <w:p w:rsidR="00000000" w:rsidRDefault="00DD5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D54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33F28" w:rsidTr="009C1E9A">
      <w:trPr>
        <w:cantSplit/>
      </w:trPr>
      <w:tc>
        <w:tcPr>
          <w:tcW w:w="0" w:type="pct"/>
        </w:tcPr>
        <w:p w:rsidR="00137D90" w:rsidRDefault="00DD54D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DD54D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DD54D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DD54D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DD54D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33F28" w:rsidTr="009C1E9A">
      <w:trPr>
        <w:cantSplit/>
      </w:trPr>
      <w:tc>
        <w:tcPr>
          <w:tcW w:w="0" w:type="pct"/>
        </w:tcPr>
        <w:p w:rsidR="00EC379B" w:rsidRDefault="00DD54D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DD54D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20832</w:t>
          </w:r>
        </w:p>
      </w:tc>
      <w:tc>
        <w:tcPr>
          <w:tcW w:w="2453" w:type="pct"/>
        </w:tcPr>
        <w:p w:rsidR="00EC379B" w:rsidRDefault="00DD54D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19.79.726</w:t>
          </w:r>
          <w:r>
            <w:fldChar w:fldCharType="end"/>
          </w:r>
        </w:p>
      </w:tc>
    </w:tr>
    <w:tr w:rsidR="00A33F28" w:rsidTr="009C1E9A">
      <w:trPr>
        <w:cantSplit/>
      </w:trPr>
      <w:tc>
        <w:tcPr>
          <w:tcW w:w="0" w:type="pct"/>
        </w:tcPr>
        <w:p w:rsidR="00EC379B" w:rsidRDefault="00DD54D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DD54D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20359</w:t>
          </w:r>
        </w:p>
      </w:tc>
      <w:tc>
        <w:tcPr>
          <w:tcW w:w="2453" w:type="pct"/>
        </w:tcPr>
        <w:p w:rsidR="00EC379B" w:rsidRDefault="00DD54D6" w:rsidP="006D504F">
          <w:pPr>
            <w:pStyle w:val="Footer"/>
            <w:rPr>
              <w:rStyle w:val="PageNumber"/>
            </w:rPr>
          </w:pPr>
        </w:p>
        <w:p w:rsidR="00EC379B" w:rsidRDefault="00DD54D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33F28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DD54D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DD54D6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DD54D6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D54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D54D6">
      <w:r>
        <w:separator/>
      </w:r>
    </w:p>
  </w:footnote>
  <w:footnote w:type="continuationSeparator" w:id="0">
    <w:p w:rsidR="00000000" w:rsidRDefault="00DD5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D54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D54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D54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75117"/>
    <w:multiLevelType w:val="hybridMultilevel"/>
    <w:tmpl w:val="4DEE1A8A"/>
    <w:lvl w:ilvl="0" w:tplc="F3EAFD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0257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E251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22A9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DA4D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4E7F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90F3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285E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8CCC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8A2407"/>
    <w:multiLevelType w:val="hybridMultilevel"/>
    <w:tmpl w:val="D23CD934"/>
    <w:lvl w:ilvl="0" w:tplc="A92EFC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582F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3A96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8E5D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DC2C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3854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1A06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222B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F60DC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5F0C3F"/>
    <w:multiLevelType w:val="hybridMultilevel"/>
    <w:tmpl w:val="DF545628"/>
    <w:lvl w:ilvl="0" w:tplc="977E5A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C602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D21E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141A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D0F3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C7A36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A0AC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A696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60B0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F28"/>
    <w:rsid w:val="00A33F28"/>
    <w:rsid w:val="00DD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AD11B63-2B6E-4318-90BC-60543A7C9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EA3E7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A3E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A3E7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A3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A3E75"/>
    <w:rPr>
      <w:b/>
      <w:bCs/>
    </w:rPr>
  </w:style>
  <w:style w:type="paragraph" w:styleId="ListParagraph">
    <w:name w:val="List Paragraph"/>
    <w:basedOn w:val="Normal"/>
    <w:uiPriority w:val="34"/>
    <w:qFormat/>
    <w:rsid w:val="00E27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594</Words>
  <Characters>3439</Characters>
  <Application>Microsoft Office Word</Application>
  <DocSecurity>4</DocSecurity>
  <Lines>82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HB01849 (Committee Report (Substituted))</vt:lpstr>
    </vt:vector>
  </TitlesOfParts>
  <Company>State of Texas</Company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20832</dc:subject>
  <dc:creator>State of Texas</dc:creator>
  <dc:description>HB 1849 by Klick-(H)Public Health (Substitute Document Number: 86R 20359)</dc:description>
  <cp:lastModifiedBy>Erin Conway</cp:lastModifiedBy>
  <cp:revision>2</cp:revision>
  <cp:lastPrinted>2003-11-26T17:21:00Z</cp:lastPrinted>
  <dcterms:created xsi:type="dcterms:W3CDTF">2019-03-22T21:30:00Z</dcterms:created>
  <dcterms:modified xsi:type="dcterms:W3CDTF">2019-03-22T21:30:00Z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19.79.726</vt:lpwstr>
  </property>
</Properties>
</file>