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178A" w:rsidTr="00345119">
        <w:tc>
          <w:tcPr>
            <w:tcW w:w="9576" w:type="dxa"/>
            <w:noWrap/>
          </w:tcPr>
          <w:p w:rsidR="008423E4" w:rsidRPr="0022177D" w:rsidRDefault="000030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30EE" w:rsidP="008423E4">
      <w:pPr>
        <w:jc w:val="center"/>
      </w:pPr>
    </w:p>
    <w:p w:rsidR="008423E4" w:rsidRPr="00B31F0E" w:rsidRDefault="000030EE" w:rsidP="008423E4"/>
    <w:p w:rsidR="008423E4" w:rsidRPr="00742794" w:rsidRDefault="000030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178A" w:rsidTr="00345119">
        <w:tc>
          <w:tcPr>
            <w:tcW w:w="9576" w:type="dxa"/>
          </w:tcPr>
          <w:p w:rsidR="008423E4" w:rsidRPr="00861995" w:rsidRDefault="000030EE" w:rsidP="00345119">
            <w:pPr>
              <w:jc w:val="right"/>
            </w:pPr>
            <w:r>
              <w:t>C.S.H.B. 1866</w:t>
            </w:r>
          </w:p>
        </w:tc>
      </w:tr>
      <w:tr w:rsidR="00BF178A" w:rsidTr="00345119">
        <w:tc>
          <w:tcPr>
            <w:tcW w:w="9576" w:type="dxa"/>
          </w:tcPr>
          <w:p w:rsidR="008423E4" w:rsidRPr="00861995" w:rsidRDefault="000030EE" w:rsidP="00B47D75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BF178A" w:rsidTr="00345119">
        <w:tc>
          <w:tcPr>
            <w:tcW w:w="9576" w:type="dxa"/>
          </w:tcPr>
          <w:p w:rsidR="008423E4" w:rsidRPr="00861995" w:rsidRDefault="000030EE" w:rsidP="00345119">
            <w:pPr>
              <w:jc w:val="right"/>
            </w:pPr>
            <w:r>
              <w:t>Public Health</w:t>
            </w:r>
          </w:p>
        </w:tc>
      </w:tr>
      <w:tr w:rsidR="00BF178A" w:rsidTr="00345119">
        <w:tc>
          <w:tcPr>
            <w:tcW w:w="9576" w:type="dxa"/>
          </w:tcPr>
          <w:p w:rsidR="008423E4" w:rsidRDefault="000030EE" w:rsidP="00DB306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030EE" w:rsidP="008423E4">
      <w:pPr>
        <w:tabs>
          <w:tab w:val="right" w:pos="9360"/>
        </w:tabs>
      </w:pPr>
    </w:p>
    <w:p w:rsidR="008423E4" w:rsidRDefault="000030EE" w:rsidP="008423E4"/>
    <w:p w:rsidR="008423E4" w:rsidRDefault="000030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178A" w:rsidTr="00345119">
        <w:tc>
          <w:tcPr>
            <w:tcW w:w="9576" w:type="dxa"/>
          </w:tcPr>
          <w:p w:rsidR="008423E4" w:rsidRPr="00A8133F" w:rsidRDefault="000030EE" w:rsidP="00516D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30EE" w:rsidP="00516D64"/>
          <w:p w:rsidR="008423E4" w:rsidRDefault="000030EE" w:rsidP="00516D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occupational therapy, physical therapy, </w:t>
            </w:r>
            <w:r>
              <w:t xml:space="preserve">chiropractic </w:t>
            </w:r>
            <w:r>
              <w:t xml:space="preserve">therapy, and other related therapies can provide more effective treatment </w:t>
            </w:r>
            <w:r>
              <w:t xml:space="preserve">for </w:t>
            </w:r>
            <w:r>
              <w:t xml:space="preserve">individuals with </w:t>
            </w:r>
            <w:r>
              <w:t xml:space="preserve">acute </w:t>
            </w:r>
            <w:r>
              <w:t xml:space="preserve">pain </w:t>
            </w:r>
            <w:r>
              <w:t xml:space="preserve">than </w:t>
            </w:r>
            <w:r>
              <w:t xml:space="preserve">treatment with </w:t>
            </w:r>
            <w:r>
              <w:t>the prescription of opioids</w:t>
            </w:r>
            <w:r>
              <w:t xml:space="preserve">. </w:t>
            </w:r>
            <w:r>
              <w:t>C.S.</w:t>
            </w:r>
            <w:r>
              <w:t xml:space="preserve">H.B. 1866 </w:t>
            </w:r>
            <w:r>
              <w:t xml:space="preserve">seeks to prohibit a prescriber from issuing </w:t>
            </w:r>
            <w:r w:rsidRPr="00134E77">
              <w:t>a prescription for an opioid in an amount t</w:t>
            </w:r>
            <w:r w:rsidRPr="00134E77">
              <w:t>hat exceeds a seven-day supply</w:t>
            </w:r>
            <w:r>
              <w:t xml:space="preserve"> for </w:t>
            </w:r>
            <w:r w:rsidRPr="00134E77">
              <w:t xml:space="preserve">the </w:t>
            </w:r>
            <w:r>
              <w:t>initial treatment of acute pain and to allow the referral of</w:t>
            </w:r>
            <w:r>
              <w:t xml:space="preserve"> patients to</w:t>
            </w:r>
            <w:r>
              <w:t xml:space="preserve"> such </w:t>
            </w:r>
            <w:r>
              <w:t>alternative</w:t>
            </w:r>
            <w:r>
              <w:t xml:space="preserve"> therapies. </w:t>
            </w:r>
          </w:p>
          <w:p w:rsidR="008423E4" w:rsidRPr="00E26B13" w:rsidRDefault="000030EE" w:rsidP="00516D64">
            <w:pPr>
              <w:rPr>
                <w:b/>
              </w:rPr>
            </w:pPr>
          </w:p>
        </w:tc>
      </w:tr>
      <w:tr w:rsidR="00BF178A" w:rsidTr="00345119">
        <w:tc>
          <w:tcPr>
            <w:tcW w:w="9576" w:type="dxa"/>
          </w:tcPr>
          <w:p w:rsidR="0017725B" w:rsidRDefault="000030EE" w:rsidP="00516D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30EE" w:rsidP="00516D64">
            <w:pPr>
              <w:rPr>
                <w:b/>
                <w:u w:val="single"/>
              </w:rPr>
            </w:pPr>
          </w:p>
          <w:p w:rsidR="009C3260" w:rsidRPr="009C3260" w:rsidRDefault="000030EE" w:rsidP="00516D6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30EE" w:rsidP="00516D64">
            <w:pPr>
              <w:rPr>
                <w:b/>
                <w:u w:val="single"/>
              </w:rPr>
            </w:pPr>
          </w:p>
        </w:tc>
      </w:tr>
      <w:tr w:rsidR="00BF178A" w:rsidTr="00345119">
        <w:tc>
          <w:tcPr>
            <w:tcW w:w="9576" w:type="dxa"/>
          </w:tcPr>
          <w:p w:rsidR="008423E4" w:rsidRPr="00A8133F" w:rsidRDefault="000030EE" w:rsidP="00516D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30EE" w:rsidP="00516D64"/>
          <w:p w:rsidR="009C3260" w:rsidRDefault="000030EE" w:rsidP="00516D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</w:t>
            </w:r>
            <w:r>
              <w:t xml:space="preserve">king authority is expressly granted to the Texas State Board of Pharmacy in SECTIONS 2 and 3 of this bill. </w:t>
            </w:r>
          </w:p>
          <w:p w:rsidR="008423E4" w:rsidRPr="00E21FDC" w:rsidRDefault="000030EE" w:rsidP="00516D64">
            <w:pPr>
              <w:rPr>
                <w:b/>
              </w:rPr>
            </w:pPr>
          </w:p>
        </w:tc>
      </w:tr>
      <w:tr w:rsidR="00BF178A" w:rsidTr="00345119">
        <w:tc>
          <w:tcPr>
            <w:tcW w:w="9576" w:type="dxa"/>
          </w:tcPr>
          <w:p w:rsidR="008423E4" w:rsidRPr="00A8133F" w:rsidRDefault="000030EE" w:rsidP="004D0C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30EE" w:rsidP="004D0C87"/>
          <w:p w:rsidR="003E6A02" w:rsidRDefault="000030EE" w:rsidP="004D0C87">
            <w:pPr>
              <w:pStyle w:val="Header"/>
              <w:jc w:val="both"/>
            </w:pPr>
            <w:r>
              <w:t>C.S.</w:t>
            </w:r>
            <w:r>
              <w:t xml:space="preserve">H.B. 1866 amends the Health and Safety Code to prohibit a </w:t>
            </w:r>
            <w:r>
              <w:t>prescribe</w:t>
            </w:r>
            <w:r>
              <w:t>r</w:t>
            </w:r>
            <w:r>
              <w:t xml:space="preserve"> from issuing </w:t>
            </w:r>
            <w:r w:rsidRPr="00134E77">
              <w:t>a prescription for an opioid in an amount that ex</w:t>
            </w:r>
            <w:r w:rsidRPr="00134E77">
              <w:t>ceeds a seven-day supply</w:t>
            </w:r>
            <w:r>
              <w:t xml:space="preserve"> for </w:t>
            </w:r>
            <w:r w:rsidRPr="00134E77">
              <w:t xml:space="preserve">the </w:t>
            </w:r>
            <w:r>
              <w:t>initial treatment of acute pain. The bill requires a prescriber</w:t>
            </w:r>
            <w:r>
              <w:t>,</w:t>
            </w:r>
            <w:r>
              <w:t xml:space="preserve"> </w:t>
            </w:r>
            <w:r>
              <w:t xml:space="preserve">before issuing </w:t>
            </w:r>
            <w:r>
              <w:t>a</w:t>
            </w:r>
            <w:r>
              <w:t xml:space="preserve"> prescription</w:t>
            </w:r>
            <w:r>
              <w:t xml:space="preserve"> for an opioid for the initial treatment of pain</w:t>
            </w:r>
            <w:r>
              <w:t>,</w:t>
            </w:r>
            <w:r>
              <w:t xml:space="preserve"> to</w:t>
            </w:r>
            <w:r>
              <w:t>:</w:t>
            </w:r>
            <w:r>
              <w:t xml:space="preserve"> </w:t>
            </w:r>
          </w:p>
          <w:p w:rsidR="003E6A02" w:rsidRDefault="000030EE" w:rsidP="004D0C8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take and document the results of a thorough medical history</w:t>
            </w:r>
            <w:r>
              <w:t>,</w:t>
            </w:r>
            <w:r>
              <w:t xml:space="preserve"> including the</w:t>
            </w:r>
            <w:r>
              <w:t xml:space="preserve"> patient's experience with medication other than opioids and specified pain management </w:t>
            </w:r>
            <w:r>
              <w:t>approaches</w:t>
            </w:r>
            <w:r>
              <w:t xml:space="preserve"> </w:t>
            </w:r>
            <w:r>
              <w:t>and any history of substance abuse</w:t>
            </w:r>
            <w:r>
              <w:t>;</w:t>
            </w:r>
            <w:r>
              <w:t xml:space="preserve"> </w:t>
            </w:r>
          </w:p>
          <w:p w:rsidR="003E6A02" w:rsidRDefault="000030EE" w:rsidP="004D0C8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conduct and document the results of a physical examination</w:t>
            </w:r>
            <w:r>
              <w:t>,</w:t>
            </w:r>
            <w:r>
              <w:t xml:space="preserve"> as appropriate</w:t>
            </w:r>
            <w:r>
              <w:t>;</w:t>
            </w:r>
            <w:r>
              <w:t xml:space="preserve"> </w:t>
            </w:r>
          </w:p>
          <w:p w:rsidR="003E6A02" w:rsidRDefault="000030EE" w:rsidP="004D0C8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develop a treatment plan focused on </w:t>
            </w:r>
            <w:r>
              <w:t>determining the cause of the patient's pain</w:t>
            </w:r>
            <w:r>
              <w:t>;</w:t>
            </w:r>
            <w:r>
              <w:t xml:space="preserve"> and </w:t>
            </w:r>
          </w:p>
          <w:p w:rsidR="003E6A02" w:rsidRDefault="000030EE" w:rsidP="004D0C8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comply with the </w:t>
            </w:r>
            <w:r>
              <w:t xml:space="preserve">statutory </w:t>
            </w:r>
            <w:r>
              <w:t>requirement</w:t>
            </w:r>
            <w:r>
              <w:t xml:space="preserve">s </w:t>
            </w:r>
            <w:r w:rsidRPr="008B52D1">
              <w:t>relating to the duties of prescribers, pharmacists, and related health care practitioners</w:t>
            </w:r>
            <w:r>
              <w:t xml:space="preserve"> and the regulation of controlled substances, chemical precursors, and chemical laboratory apparatus.</w:t>
            </w:r>
            <w:r>
              <w:t xml:space="preserve"> </w:t>
            </w:r>
          </w:p>
          <w:p w:rsidR="0018326E" w:rsidRDefault="000030EE" w:rsidP="00A95DC5">
            <w:pPr>
              <w:pStyle w:val="Header"/>
              <w:jc w:val="both"/>
            </w:pPr>
          </w:p>
          <w:p w:rsidR="002B7260" w:rsidRDefault="000030EE" w:rsidP="00A95DC5">
            <w:pPr>
              <w:pStyle w:val="Header"/>
              <w:jc w:val="both"/>
            </w:pPr>
            <w:r>
              <w:t>C.S.</w:t>
            </w:r>
            <w:r>
              <w:t xml:space="preserve">H.B. 1866 </w:t>
            </w:r>
            <w:r>
              <w:t>defines "acute pain" as the time-limited normal, predicted, physiological response to a stimulus such as trauma, disease, and operative pr</w:t>
            </w:r>
            <w:r>
              <w:t>ocedures. The term does not include chronic pain, pain being treated as part of cancer care, pain being treated as part of hospice or other end-of-life care, or pain being treated as part of palliative care.</w:t>
            </w:r>
          </w:p>
          <w:p w:rsidR="002B7260" w:rsidRDefault="000030EE" w:rsidP="00A95DC5">
            <w:pPr>
              <w:pStyle w:val="Header"/>
              <w:jc w:val="both"/>
            </w:pPr>
          </w:p>
          <w:p w:rsidR="007306F3" w:rsidRDefault="000030EE" w:rsidP="00A95DC5">
            <w:pPr>
              <w:pStyle w:val="Header"/>
              <w:jc w:val="both"/>
            </w:pPr>
            <w:r>
              <w:t xml:space="preserve">C.S.H.B. 1866 </w:t>
            </w:r>
            <w:r>
              <w:t xml:space="preserve">authorizes a prescriber to refer </w:t>
            </w:r>
            <w:r>
              <w:t xml:space="preserve">or prescribe </w:t>
            </w:r>
            <w:r w:rsidRPr="008B52D1">
              <w:t xml:space="preserve">any of the following pain management services to a patient, based on the prescriber's clinical judgment and the availability of the treatment, when issuing an opioid prescription for acute pain: </w:t>
            </w:r>
            <w:r>
              <w:t>physical therapies, occupational therapies, chir</w:t>
            </w:r>
            <w:r>
              <w:t xml:space="preserve">opractic treatment, physical medicine and rehabilitation, or osteopathic manipulation. </w:t>
            </w:r>
            <w:r>
              <w:t>The bill</w:t>
            </w:r>
            <w:r>
              <w:t xml:space="preserve"> expressly do</w:t>
            </w:r>
            <w:r>
              <w:t>es</w:t>
            </w:r>
            <w:r>
              <w:t xml:space="preserve"> not </w:t>
            </w:r>
            <w:r w:rsidRPr="0011604A">
              <w:t xml:space="preserve">require that all of </w:t>
            </w:r>
            <w:r>
              <w:t>those</w:t>
            </w:r>
            <w:r>
              <w:t xml:space="preserve"> </w:t>
            </w:r>
            <w:r w:rsidRPr="0011604A">
              <w:t>pain management treatments be exhausted before the patient may receive a prescription for an opioid.</w:t>
            </w:r>
            <w:r>
              <w:t xml:space="preserve"> </w:t>
            </w:r>
          </w:p>
          <w:p w:rsidR="007306F3" w:rsidRDefault="000030EE" w:rsidP="00A95DC5">
            <w:pPr>
              <w:pStyle w:val="Header"/>
              <w:jc w:val="both"/>
            </w:pPr>
          </w:p>
          <w:p w:rsidR="009426E1" w:rsidRDefault="000030EE" w:rsidP="00A95DC5">
            <w:pPr>
              <w:pStyle w:val="Header"/>
              <w:jc w:val="both"/>
            </w:pPr>
            <w:r>
              <w:t>C.S.</w:t>
            </w:r>
            <w:r>
              <w:t>H.B. 186</w:t>
            </w:r>
            <w:r>
              <w:t xml:space="preserve">6 </w:t>
            </w:r>
            <w:r>
              <w:t xml:space="preserve">makes </w:t>
            </w:r>
            <w:r>
              <w:t>its</w:t>
            </w:r>
            <w:r>
              <w:t xml:space="preserve"> provisions </w:t>
            </w:r>
            <w:r>
              <w:t xml:space="preserve">inapplicable </w:t>
            </w:r>
            <w:r>
              <w:t>to</w:t>
            </w:r>
            <w:r>
              <w:t xml:space="preserve"> a prescriber who is a veterinarian and to</w:t>
            </w:r>
            <w:r>
              <w:t xml:space="preserve"> patients with pain related to progressive functional neurological deficit, fracture, tumor, infection, or </w:t>
            </w:r>
            <w:r>
              <w:t>immediate postsurgical recovery</w:t>
            </w:r>
            <w:r>
              <w:t xml:space="preserve">; </w:t>
            </w:r>
            <w:r>
              <w:t>to</w:t>
            </w:r>
            <w:r>
              <w:t xml:space="preserve"> patients with chronic pain that, </w:t>
            </w:r>
            <w:r>
              <w:t xml:space="preserve">based on the prescriber's clinical judgment, is caused by a disease, illness, or injury that would not improve under </w:t>
            </w:r>
            <w:r>
              <w:t xml:space="preserve">such </w:t>
            </w:r>
            <w:r>
              <w:t xml:space="preserve">pain management </w:t>
            </w:r>
            <w:r>
              <w:t>therapies and treatments</w:t>
            </w:r>
            <w:r>
              <w:t>;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to</w:t>
            </w:r>
            <w:r>
              <w:t xml:space="preserve"> patients receiving treatment for cancer, emergency or trauma care, hospice care, palli</w:t>
            </w:r>
            <w:r>
              <w:t>ative care, long-term care, or treatment for substance abuse or opioid dependence.</w:t>
            </w:r>
            <w:r>
              <w:t xml:space="preserve"> The bill establishes that a dispenser </w:t>
            </w:r>
            <w:r w:rsidRPr="00A77EEE">
              <w:t>is not subject to disciplinary action, civil liability, or criminal, civil, or administrative penalties for dispensing or refusing to d</w:t>
            </w:r>
            <w:r w:rsidRPr="00A77EEE">
              <w:t xml:space="preserve">ispense a controlled substance under an otherwise valid prescription </w:t>
            </w:r>
            <w:r>
              <w:t xml:space="preserve">in an amount </w:t>
            </w:r>
            <w:r w:rsidRPr="00A77EEE">
              <w:t>that</w:t>
            </w:r>
            <w:r>
              <w:t xml:space="preserve"> exceeds a seven-day supply.  </w:t>
            </w:r>
            <w:r>
              <w:t xml:space="preserve"> </w:t>
            </w:r>
            <w:r>
              <w:t xml:space="preserve"> </w:t>
            </w:r>
          </w:p>
          <w:p w:rsidR="009426E1" w:rsidRDefault="000030EE" w:rsidP="004D0C87">
            <w:pPr>
              <w:pStyle w:val="Header"/>
              <w:jc w:val="both"/>
            </w:pPr>
          </w:p>
          <w:p w:rsidR="00492548" w:rsidRDefault="000030EE" w:rsidP="0038766A">
            <w:pPr>
              <w:pStyle w:val="Header"/>
              <w:jc w:val="both"/>
            </w:pPr>
            <w:r>
              <w:t>C.S.</w:t>
            </w:r>
            <w:r>
              <w:t>H.B. 1866 amends the Occupations Code to</w:t>
            </w:r>
            <w:r>
              <w:t xml:space="preserve"> </w:t>
            </w:r>
            <w:r>
              <w:t xml:space="preserve">expand the grounds on which </w:t>
            </w:r>
            <w:r>
              <w:t xml:space="preserve">the </w:t>
            </w:r>
            <w:r w:rsidRPr="00707C21">
              <w:t xml:space="preserve">Texas State Board of Pharmacy </w:t>
            </w:r>
            <w:r>
              <w:t>(</w:t>
            </w:r>
            <w:r>
              <w:t>TSBP</w:t>
            </w:r>
            <w:r>
              <w:t>)</w:t>
            </w:r>
            <w:r>
              <w:t xml:space="preserve"> </w:t>
            </w:r>
            <w:r>
              <w:t xml:space="preserve">may </w:t>
            </w:r>
            <w:r w:rsidRPr="00FA69FF">
              <w:t>discipline</w:t>
            </w:r>
            <w:r w:rsidRPr="00FA69FF">
              <w:t xml:space="preserve"> an applicant or the holder of a nonresident pharmacy license</w:t>
            </w:r>
            <w:r>
              <w:t xml:space="preserve"> if </w:t>
            </w:r>
            <w:r>
              <w:t xml:space="preserve">the </w:t>
            </w:r>
            <w:r>
              <w:t xml:space="preserve">TSBP finds that </w:t>
            </w:r>
            <w:r w:rsidRPr="00947AC5">
              <w:t>the applicant or license holder has</w:t>
            </w:r>
            <w:r>
              <w:t xml:space="preserve"> failed</w:t>
            </w:r>
            <w:r>
              <w:t xml:space="preserve"> </w:t>
            </w:r>
            <w:r>
              <w:t xml:space="preserve">to comply </w:t>
            </w:r>
            <w:r>
              <w:t xml:space="preserve">with </w:t>
            </w:r>
            <w:r>
              <w:t xml:space="preserve">the bill's provisions </w:t>
            </w:r>
            <w:r w:rsidRPr="00F95967">
              <w:t xml:space="preserve">relating to prescriptions of opioids for acute pain </w:t>
            </w:r>
            <w:r>
              <w:t xml:space="preserve">or </w:t>
            </w:r>
            <w:r>
              <w:t>provisions under the Texas Controlle</w:t>
            </w:r>
            <w:r>
              <w:t xml:space="preserve">d Substances Act relating to </w:t>
            </w:r>
            <w:r w:rsidRPr="00FA69FF">
              <w:t xml:space="preserve">communication of prescriptions by </w:t>
            </w:r>
            <w:r>
              <w:t>a</w:t>
            </w:r>
            <w:r>
              <w:t xml:space="preserve"> practitioner's </w:t>
            </w:r>
            <w:r w:rsidRPr="00FA69FF">
              <w:t>agent</w:t>
            </w:r>
            <w:r>
              <w:t>;</w:t>
            </w:r>
            <w:r>
              <w:t xml:space="preserve"> official prescription information</w:t>
            </w:r>
            <w:r>
              <w:t>;</w:t>
            </w:r>
            <w:r>
              <w:t xml:space="preserve"> </w:t>
            </w:r>
            <w:r>
              <w:t xml:space="preserve">certain </w:t>
            </w:r>
            <w:r>
              <w:t xml:space="preserve">rules </w:t>
            </w:r>
            <w:r>
              <w:t>relating to</w:t>
            </w:r>
            <w:r w:rsidRPr="00ED1E66">
              <w:t xml:space="preserve"> the official prescription program</w:t>
            </w:r>
            <w:r>
              <w:t>;</w:t>
            </w:r>
            <w:r>
              <w:t xml:space="preserve"> monitoring of </w:t>
            </w:r>
            <w:r>
              <w:t>prescribers</w:t>
            </w:r>
            <w:r>
              <w:t xml:space="preserve"> by </w:t>
            </w:r>
            <w:r>
              <w:t xml:space="preserve">the </w:t>
            </w:r>
            <w:r>
              <w:t xml:space="preserve">applicable regulatory </w:t>
            </w:r>
            <w:r>
              <w:t>agency;</w:t>
            </w:r>
            <w:r>
              <w:t xml:space="preserve"> registrati</w:t>
            </w:r>
            <w:r>
              <w:t xml:space="preserve">on of </w:t>
            </w:r>
            <w:r>
              <w:t xml:space="preserve">a </w:t>
            </w:r>
            <w:r>
              <w:t>prescriber</w:t>
            </w:r>
            <w:r>
              <w:t xml:space="preserve"> or dispenser </w:t>
            </w:r>
            <w:r>
              <w:t>by the applicable regulatory agency</w:t>
            </w:r>
            <w:r>
              <w:t>;</w:t>
            </w:r>
            <w:r>
              <w:t xml:space="preserve"> </w:t>
            </w:r>
            <w:r>
              <w:t>duties of</w:t>
            </w:r>
            <w:r>
              <w:t xml:space="preserve"> </w:t>
            </w:r>
            <w:r>
              <w:t>prescribers</w:t>
            </w:r>
            <w:r>
              <w:t xml:space="preserve">, </w:t>
            </w:r>
            <w:r>
              <w:t xml:space="preserve">pharmacists, </w:t>
            </w:r>
            <w:r>
              <w:t xml:space="preserve">and </w:t>
            </w:r>
            <w:r>
              <w:t xml:space="preserve">related </w:t>
            </w:r>
            <w:r>
              <w:t>health</w:t>
            </w:r>
            <w:r>
              <w:t xml:space="preserve"> care</w:t>
            </w:r>
            <w:r>
              <w:t xml:space="preserve"> practitioners</w:t>
            </w:r>
            <w:r>
              <w:t xml:space="preserve">; </w:t>
            </w:r>
            <w:r>
              <w:t xml:space="preserve">exceptions to </w:t>
            </w:r>
            <w:r>
              <w:t>those duties</w:t>
            </w:r>
            <w:r>
              <w:t>;</w:t>
            </w:r>
            <w:r>
              <w:t xml:space="preserve"> and </w:t>
            </w:r>
            <w:r>
              <w:t xml:space="preserve">reports of </w:t>
            </w:r>
            <w:r>
              <w:t xml:space="preserve">wholesale distributors.  </w:t>
            </w:r>
          </w:p>
          <w:p w:rsidR="008423E4" w:rsidRPr="00835628" w:rsidRDefault="000030EE">
            <w:pPr>
              <w:rPr>
                <w:b/>
              </w:rPr>
            </w:pPr>
          </w:p>
        </w:tc>
      </w:tr>
      <w:tr w:rsidR="00BF178A" w:rsidTr="00345119">
        <w:tc>
          <w:tcPr>
            <w:tcW w:w="9576" w:type="dxa"/>
          </w:tcPr>
          <w:p w:rsidR="008423E4" w:rsidRPr="00A8133F" w:rsidRDefault="000030EE" w:rsidP="00516D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30EE" w:rsidP="00516D64"/>
          <w:p w:rsidR="006D507B" w:rsidRDefault="000030EE" w:rsidP="00516D64">
            <w:pPr>
              <w:pStyle w:val="Header"/>
              <w:jc w:val="both"/>
            </w:pPr>
            <w:r w:rsidRPr="009C3260">
              <w:t>September 1, 2019.</w:t>
            </w:r>
            <w:r>
              <w:t xml:space="preserve"> </w:t>
            </w:r>
          </w:p>
          <w:p w:rsidR="00585B0B" w:rsidRPr="00233FDB" w:rsidRDefault="000030EE" w:rsidP="00516D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F178A" w:rsidTr="00386F09">
        <w:trPr>
          <w:trHeight w:val="3537"/>
        </w:trPr>
        <w:tc>
          <w:tcPr>
            <w:tcW w:w="9576" w:type="dxa"/>
          </w:tcPr>
          <w:p w:rsidR="00B47D75" w:rsidRDefault="000030EE" w:rsidP="00516D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77EEE" w:rsidRDefault="000030EE" w:rsidP="00516D64">
            <w:pPr>
              <w:jc w:val="both"/>
            </w:pPr>
          </w:p>
          <w:p w:rsidR="00A77EEE" w:rsidRDefault="000030EE" w:rsidP="00516D64">
            <w:pPr>
              <w:jc w:val="both"/>
            </w:pPr>
            <w:r>
              <w:t>While C.S.H.B. 1866 may differ from the original in minor or nonsubstantive ways, the following summarizes the substantial differences between the introduced and committee substitute versions of the bill.</w:t>
            </w:r>
          </w:p>
          <w:p w:rsidR="00A77EEE" w:rsidRDefault="000030EE" w:rsidP="00516D64">
            <w:pPr>
              <w:jc w:val="both"/>
            </w:pPr>
          </w:p>
          <w:p w:rsidR="00386F09" w:rsidRDefault="000030EE" w:rsidP="00516D64">
            <w:pPr>
              <w:jc w:val="both"/>
            </w:pPr>
            <w:r>
              <w:t>The substit</w:t>
            </w:r>
            <w:r>
              <w:t xml:space="preserve">ute </w:t>
            </w:r>
            <w:r>
              <w:t>revises the definition of</w:t>
            </w:r>
            <w:r>
              <w:t xml:space="preserve"> "</w:t>
            </w:r>
            <w:r>
              <w:t>acute pain</w:t>
            </w:r>
            <w:r>
              <w:t>"</w:t>
            </w:r>
            <w:r>
              <w:t xml:space="preserve"> for purposes of prescribing opioids and </w:t>
            </w:r>
            <w:r>
              <w:t xml:space="preserve">specifies certain </w:t>
            </w:r>
            <w:r>
              <w:t xml:space="preserve">types of pain not included in </w:t>
            </w:r>
            <w:r>
              <w:t xml:space="preserve">the </w:t>
            </w:r>
            <w:r>
              <w:t>definition.</w:t>
            </w:r>
          </w:p>
          <w:p w:rsidR="00386F09" w:rsidRDefault="000030EE" w:rsidP="00516D64">
            <w:pPr>
              <w:jc w:val="both"/>
            </w:pPr>
          </w:p>
          <w:p w:rsidR="00A77EEE" w:rsidRDefault="000030EE" w:rsidP="00516D64">
            <w:pPr>
              <w:jc w:val="both"/>
            </w:pPr>
            <w:r>
              <w:t xml:space="preserve">The substitute includes a provision making the </w:t>
            </w:r>
            <w:r>
              <w:t>bill's</w:t>
            </w:r>
            <w:r>
              <w:t xml:space="preserve"> provisions inapplicable to a prescriber who is a veter</w:t>
            </w:r>
            <w:r>
              <w:t>inarian</w:t>
            </w:r>
            <w:r>
              <w:t xml:space="preserve"> and</w:t>
            </w:r>
            <w:r>
              <w:t xml:space="preserve"> a provision establishing that a dispenser is not subject to disciplinary action, civil liability, or certain penalties for dispensing or refusing to dispense a controlled substance under a valid prescription that exceeds a seven-day supply.</w:t>
            </w:r>
          </w:p>
          <w:p w:rsidR="00A77EEE" w:rsidRPr="00A77EEE" w:rsidRDefault="000030EE" w:rsidP="00516D64">
            <w:pPr>
              <w:jc w:val="both"/>
            </w:pPr>
          </w:p>
        </w:tc>
      </w:tr>
    </w:tbl>
    <w:p w:rsidR="004108C3" w:rsidRPr="008423E4" w:rsidRDefault="000030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30EE">
      <w:r>
        <w:separator/>
      </w:r>
    </w:p>
  </w:endnote>
  <w:endnote w:type="continuationSeparator" w:id="0">
    <w:p w:rsidR="00000000" w:rsidRDefault="000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3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178A" w:rsidTr="009C1E9A">
      <w:trPr>
        <w:cantSplit/>
      </w:trPr>
      <w:tc>
        <w:tcPr>
          <w:tcW w:w="0" w:type="pct"/>
        </w:tcPr>
        <w:p w:rsidR="00137D90" w:rsidRDefault="0000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30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30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78A" w:rsidTr="009C1E9A">
      <w:trPr>
        <w:cantSplit/>
      </w:trPr>
      <w:tc>
        <w:tcPr>
          <w:tcW w:w="0" w:type="pct"/>
        </w:tcPr>
        <w:p w:rsidR="00EC379B" w:rsidRDefault="000030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30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26672</w:t>
          </w:r>
        </w:p>
      </w:tc>
      <w:tc>
        <w:tcPr>
          <w:tcW w:w="2453" w:type="pct"/>
        </w:tcPr>
        <w:p w:rsidR="00EC379B" w:rsidRDefault="0000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19.102.1325</w:t>
          </w:r>
          <w:r>
            <w:fldChar w:fldCharType="end"/>
          </w:r>
        </w:p>
      </w:tc>
    </w:tr>
    <w:tr w:rsidR="00BF178A" w:rsidTr="009C1E9A">
      <w:trPr>
        <w:cantSplit/>
      </w:trPr>
      <w:tc>
        <w:tcPr>
          <w:tcW w:w="0" w:type="pct"/>
        </w:tcPr>
        <w:p w:rsidR="00EC379B" w:rsidRDefault="000030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30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23872</w:t>
          </w:r>
        </w:p>
      </w:tc>
      <w:tc>
        <w:tcPr>
          <w:tcW w:w="2453" w:type="pct"/>
        </w:tcPr>
        <w:p w:rsidR="00EC379B" w:rsidRDefault="000030EE" w:rsidP="006D504F">
          <w:pPr>
            <w:pStyle w:val="Footer"/>
            <w:rPr>
              <w:rStyle w:val="PageNumber"/>
            </w:rPr>
          </w:pPr>
        </w:p>
        <w:p w:rsidR="00EC379B" w:rsidRDefault="00003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7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30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030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30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30EE">
      <w:r>
        <w:separator/>
      </w:r>
    </w:p>
  </w:footnote>
  <w:footnote w:type="continuationSeparator" w:id="0">
    <w:p w:rsidR="00000000" w:rsidRDefault="0000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3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3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3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6315"/>
    <w:multiLevelType w:val="hybridMultilevel"/>
    <w:tmpl w:val="F6C43F48"/>
    <w:lvl w:ilvl="0" w:tplc="7F30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5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67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6D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B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E0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5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7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83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8A"/>
    <w:rsid w:val="000030EE"/>
    <w:rsid w:val="00B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97C83-6B52-46F0-BF30-998C019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6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6C5"/>
    <w:rPr>
      <w:b/>
      <w:bCs/>
    </w:rPr>
  </w:style>
  <w:style w:type="paragraph" w:styleId="Revision">
    <w:name w:val="Revision"/>
    <w:hidden/>
    <w:uiPriority w:val="99"/>
    <w:semiHidden/>
    <w:rsid w:val="00DF5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4632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HB01866 (Committee Report (Substituted))</vt:lpstr>
    </vt:vector>
  </TitlesOfParts>
  <Company>State of Texas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26672</dc:subject>
  <dc:creator>State of Texas</dc:creator>
  <dc:description>HB 1866 by Davis, Yvonne-(H)Public Health (Substitute Document Number: 86R 23872)</dc:description>
  <cp:lastModifiedBy>Scotty Wimberley</cp:lastModifiedBy>
  <cp:revision>2</cp:revision>
  <cp:lastPrinted>2003-11-26T17:21:00Z</cp:lastPrinted>
  <dcterms:created xsi:type="dcterms:W3CDTF">2019-04-16T21:10:00Z</dcterms:created>
  <dcterms:modified xsi:type="dcterms:W3CDTF">2019-04-16T21:10:00Z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19.102.1325</vt:lpwstr>
  </property>
</Properties>
</file>