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41635" w:rsidTr="00345119">
        <w:tc>
          <w:tcPr>
            <w:tcW w:w="9576" w:type="dxa"/>
            <w:noWrap/>
          </w:tcPr>
          <w:p w:rsidR="008423E4" w:rsidRPr="0022177D" w:rsidRDefault="0002603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26032" w:rsidP="008423E4">
      <w:pPr>
        <w:jc w:val="center"/>
      </w:pPr>
    </w:p>
    <w:p w:rsidR="008423E4" w:rsidRPr="00B31F0E" w:rsidRDefault="00026032" w:rsidP="008423E4"/>
    <w:p w:rsidR="008423E4" w:rsidRPr="00742794" w:rsidRDefault="0002603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41635" w:rsidTr="00345119">
        <w:tc>
          <w:tcPr>
            <w:tcW w:w="9576" w:type="dxa"/>
          </w:tcPr>
          <w:p w:rsidR="008423E4" w:rsidRPr="00861995" w:rsidRDefault="00026032" w:rsidP="00345119">
            <w:pPr>
              <w:jc w:val="right"/>
            </w:pPr>
            <w:r>
              <w:t>H.B. 1873</w:t>
            </w:r>
          </w:p>
        </w:tc>
      </w:tr>
      <w:tr w:rsidR="00E41635" w:rsidTr="00345119">
        <w:tc>
          <w:tcPr>
            <w:tcW w:w="9576" w:type="dxa"/>
          </w:tcPr>
          <w:p w:rsidR="008423E4" w:rsidRPr="00861995" w:rsidRDefault="00026032" w:rsidP="000445C2">
            <w:pPr>
              <w:jc w:val="right"/>
            </w:pPr>
            <w:r>
              <w:t xml:space="preserve">By: </w:t>
            </w:r>
            <w:r>
              <w:t>Dominguez</w:t>
            </w:r>
          </w:p>
        </w:tc>
      </w:tr>
      <w:tr w:rsidR="00E41635" w:rsidTr="00345119">
        <w:tc>
          <w:tcPr>
            <w:tcW w:w="9576" w:type="dxa"/>
          </w:tcPr>
          <w:p w:rsidR="008423E4" w:rsidRPr="00861995" w:rsidRDefault="00026032" w:rsidP="00345119">
            <w:pPr>
              <w:jc w:val="right"/>
            </w:pPr>
            <w:r>
              <w:t>Licensing &amp; Administrative Procedures</w:t>
            </w:r>
          </w:p>
        </w:tc>
      </w:tr>
      <w:tr w:rsidR="00E41635" w:rsidTr="00345119">
        <w:tc>
          <w:tcPr>
            <w:tcW w:w="9576" w:type="dxa"/>
          </w:tcPr>
          <w:p w:rsidR="008423E4" w:rsidRDefault="0002603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26032" w:rsidP="008423E4">
      <w:pPr>
        <w:tabs>
          <w:tab w:val="right" w:pos="9360"/>
        </w:tabs>
      </w:pPr>
    </w:p>
    <w:p w:rsidR="008423E4" w:rsidRDefault="00026032" w:rsidP="008423E4"/>
    <w:p w:rsidR="008423E4" w:rsidRDefault="0002603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41635" w:rsidTr="00345119">
        <w:tc>
          <w:tcPr>
            <w:tcW w:w="9576" w:type="dxa"/>
          </w:tcPr>
          <w:p w:rsidR="008423E4" w:rsidRPr="00A8133F" w:rsidRDefault="00026032" w:rsidP="0017448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26032" w:rsidP="00174480"/>
          <w:p w:rsidR="008423E4" w:rsidRDefault="00026032" w:rsidP="00174480">
            <w:pPr>
              <w:pStyle w:val="Header"/>
              <w:jc w:val="both"/>
            </w:pPr>
            <w:r>
              <w:t xml:space="preserve">Reports indicate that following the devastation caused by Hurricane Harvey, </w:t>
            </w:r>
            <w:r>
              <w:t xml:space="preserve">some </w:t>
            </w:r>
            <w:r>
              <w:t>property owners struggle</w:t>
            </w:r>
            <w:r>
              <w:t>d</w:t>
            </w:r>
            <w:r>
              <w:t xml:space="preserve"> to fin</w:t>
            </w:r>
            <w:r>
              <w:t>d</w:t>
            </w:r>
            <w:r>
              <w:t xml:space="preserve"> skilled tradespeople to help them rebuild</w:t>
            </w:r>
            <w:r>
              <w:t>,</w:t>
            </w:r>
            <w:r>
              <w:t xml:space="preserve"> </w:t>
            </w:r>
            <w:r>
              <w:t xml:space="preserve">while others were </w:t>
            </w:r>
            <w:r>
              <w:t>taken advantage of by fraudulent contractors. H.B. 1873 seeks to help strategize a way to improve the oversight, accountability, and availability of building trade services following disasters b</w:t>
            </w:r>
            <w:r>
              <w:t xml:space="preserve">y requiring the Texas Division of Emergency Management to consult with </w:t>
            </w:r>
            <w:r>
              <w:t xml:space="preserve">appropriate </w:t>
            </w:r>
            <w:r>
              <w:t>entities and submit a report to the legislature</w:t>
            </w:r>
            <w:r>
              <w:t xml:space="preserve"> on these matters</w:t>
            </w:r>
            <w:r>
              <w:t xml:space="preserve">. </w:t>
            </w:r>
          </w:p>
          <w:p w:rsidR="008423E4" w:rsidRPr="00E26B13" w:rsidRDefault="00026032" w:rsidP="00174480">
            <w:pPr>
              <w:rPr>
                <w:b/>
              </w:rPr>
            </w:pPr>
          </w:p>
        </w:tc>
      </w:tr>
      <w:tr w:rsidR="00E41635" w:rsidTr="00345119">
        <w:tc>
          <w:tcPr>
            <w:tcW w:w="9576" w:type="dxa"/>
          </w:tcPr>
          <w:p w:rsidR="0017725B" w:rsidRDefault="00026032" w:rsidP="0017448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26032" w:rsidP="00174480">
            <w:pPr>
              <w:rPr>
                <w:b/>
                <w:u w:val="single"/>
              </w:rPr>
            </w:pPr>
          </w:p>
          <w:p w:rsidR="00EF76F3" w:rsidRPr="00EF76F3" w:rsidRDefault="00026032" w:rsidP="00174480">
            <w:pPr>
              <w:jc w:val="both"/>
            </w:pPr>
            <w:r>
              <w:t>It is the committee's opinion that this bill does not expressly create a crimin</w:t>
            </w:r>
            <w:r>
              <w:t>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26032" w:rsidP="00174480">
            <w:pPr>
              <w:rPr>
                <w:b/>
                <w:u w:val="single"/>
              </w:rPr>
            </w:pPr>
          </w:p>
        </w:tc>
      </w:tr>
      <w:tr w:rsidR="00E41635" w:rsidTr="00345119">
        <w:tc>
          <w:tcPr>
            <w:tcW w:w="9576" w:type="dxa"/>
          </w:tcPr>
          <w:p w:rsidR="008423E4" w:rsidRPr="00A8133F" w:rsidRDefault="00026032" w:rsidP="0017448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26032" w:rsidP="00174480"/>
          <w:p w:rsidR="00EF76F3" w:rsidRDefault="00026032" w:rsidP="001744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</w:t>
            </w:r>
            <w:r>
              <w:t>this bill does not expressly grant any additional rulemaking authority to a state officer, department, agency, or institution.</w:t>
            </w:r>
          </w:p>
          <w:p w:rsidR="008423E4" w:rsidRPr="00E21FDC" w:rsidRDefault="00026032" w:rsidP="00174480">
            <w:pPr>
              <w:rPr>
                <w:b/>
              </w:rPr>
            </w:pPr>
          </w:p>
        </w:tc>
      </w:tr>
      <w:tr w:rsidR="00E41635" w:rsidTr="00345119">
        <w:tc>
          <w:tcPr>
            <w:tcW w:w="9576" w:type="dxa"/>
          </w:tcPr>
          <w:p w:rsidR="008423E4" w:rsidRPr="00A8133F" w:rsidRDefault="00026032" w:rsidP="0017448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26032" w:rsidP="00174480"/>
          <w:p w:rsidR="00440215" w:rsidRDefault="00026032" w:rsidP="001744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1873 amends the Government Code to require the Texas Division of Emergency Management</w:t>
            </w:r>
            <w:r>
              <w:t xml:space="preserve"> (TDEM)</w:t>
            </w:r>
            <w:r>
              <w:t xml:space="preserve">, not later than </w:t>
            </w:r>
            <w:r>
              <w:t>November 1, 2020, to submit a report to members of the legislature on improving the oversight, accountability, and availability of building trade services following disasters that includes the following:</w:t>
            </w:r>
          </w:p>
          <w:p w:rsidR="00440215" w:rsidRDefault="00026032" w:rsidP="0017448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strategies to increase the availability of tradespeo</w:t>
            </w:r>
            <w:r>
              <w:t xml:space="preserve">ple following a disaster; </w:t>
            </w:r>
          </w:p>
          <w:p w:rsidR="00440215" w:rsidRDefault="00026032" w:rsidP="0017448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approaches to increase prosecutions of alleged fraud related to building trade services offered following a disaster; and </w:t>
            </w:r>
          </w:p>
          <w:p w:rsidR="00440215" w:rsidRDefault="00026032" w:rsidP="0017448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methods to encourage performance bond requirements in contracts </w:t>
            </w:r>
            <w:r>
              <w:t>for building trade services to be performe</w:t>
            </w:r>
            <w:r>
              <w:t xml:space="preserve">d following a disaster. </w:t>
            </w:r>
          </w:p>
          <w:p w:rsidR="008423E4" w:rsidRDefault="00026032" w:rsidP="001744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requires TDEM to </w:t>
            </w:r>
            <w:r w:rsidRPr="00444A42">
              <w:t>consult with appropriate state entities</w:t>
            </w:r>
            <w:r w:rsidRPr="00440215">
              <w:t>, including the Texas A&amp;M AgriLife Extension Service and Texas Department of Licensing and Regulation, local governments, trade associations, and law enforcement grou</w:t>
            </w:r>
            <w:r w:rsidRPr="00440215">
              <w:t>ps</w:t>
            </w:r>
            <w:r w:rsidRPr="00444A42">
              <w:t xml:space="preserve"> in preparing the report</w:t>
            </w:r>
            <w:r>
              <w:t>. The bill's provisions expire January 1, 2021.</w:t>
            </w:r>
          </w:p>
          <w:p w:rsidR="008423E4" w:rsidRPr="00835628" w:rsidRDefault="00026032" w:rsidP="00174480">
            <w:pPr>
              <w:rPr>
                <w:b/>
              </w:rPr>
            </w:pPr>
          </w:p>
        </w:tc>
      </w:tr>
      <w:tr w:rsidR="00E41635" w:rsidTr="00345119">
        <w:tc>
          <w:tcPr>
            <w:tcW w:w="9576" w:type="dxa"/>
          </w:tcPr>
          <w:p w:rsidR="008423E4" w:rsidRPr="00A8133F" w:rsidRDefault="00026032" w:rsidP="0017448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26032" w:rsidP="00174480"/>
          <w:p w:rsidR="008423E4" w:rsidRPr="003624F2" w:rsidRDefault="00026032" w:rsidP="001744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026032" w:rsidP="00174480">
            <w:pPr>
              <w:rPr>
                <w:b/>
              </w:rPr>
            </w:pPr>
          </w:p>
        </w:tc>
      </w:tr>
    </w:tbl>
    <w:p w:rsidR="008423E4" w:rsidRPr="00BE0E75" w:rsidRDefault="0002603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2603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26032">
      <w:r>
        <w:separator/>
      </w:r>
    </w:p>
  </w:endnote>
  <w:endnote w:type="continuationSeparator" w:id="0">
    <w:p w:rsidR="00000000" w:rsidRDefault="0002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260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41635" w:rsidTr="009C1E9A">
      <w:trPr>
        <w:cantSplit/>
      </w:trPr>
      <w:tc>
        <w:tcPr>
          <w:tcW w:w="0" w:type="pct"/>
        </w:tcPr>
        <w:p w:rsidR="00137D90" w:rsidRDefault="0002603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2603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2603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2603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2603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41635" w:rsidTr="009C1E9A">
      <w:trPr>
        <w:cantSplit/>
      </w:trPr>
      <w:tc>
        <w:tcPr>
          <w:tcW w:w="0" w:type="pct"/>
        </w:tcPr>
        <w:p w:rsidR="00EC379B" w:rsidRDefault="0002603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2603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27165</w:t>
          </w:r>
        </w:p>
      </w:tc>
      <w:tc>
        <w:tcPr>
          <w:tcW w:w="2453" w:type="pct"/>
        </w:tcPr>
        <w:p w:rsidR="00EC379B" w:rsidRDefault="0002603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19.104.781</w:t>
          </w:r>
          <w:r>
            <w:fldChar w:fldCharType="end"/>
          </w:r>
        </w:p>
      </w:tc>
    </w:tr>
    <w:tr w:rsidR="00E41635" w:rsidTr="009C1E9A">
      <w:trPr>
        <w:cantSplit/>
      </w:trPr>
      <w:tc>
        <w:tcPr>
          <w:tcW w:w="0" w:type="pct"/>
        </w:tcPr>
        <w:p w:rsidR="00EC379B" w:rsidRDefault="0002603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2603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26032" w:rsidP="006D504F">
          <w:pPr>
            <w:pStyle w:val="Footer"/>
            <w:rPr>
              <w:rStyle w:val="PageNumber"/>
            </w:rPr>
          </w:pPr>
        </w:p>
        <w:p w:rsidR="00EC379B" w:rsidRDefault="0002603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4163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2603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2603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2603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26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26032">
      <w:r>
        <w:separator/>
      </w:r>
    </w:p>
  </w:footnote>
  <w:footnote w:type="continuationSeparator" w:id="0">
    <w:p w:rsidR="00000000" w:rsidRDefault="00026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260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260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260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905B6"/>
    <w:multiLevelType w:val="hybridMultilevel"/>
    <w:tmpl w:val="92E6F472"/>
    <w:lvl w:ilvl="0" w:tplc="006CA4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E04F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684A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EC2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0EA2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83D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0499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3CFD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909C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35"/>
    <w:rsid w:val="00026032"/>
    <w:rsid w:val="00E4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DA7AB6-8BF0-4107-AF2B-48655097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642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42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426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4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42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1823</Characters>
  <Application>Microsoft Office Word</Application>
  <DocSecurity>4</DocSecurity>
  <Lines>52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HB01873 (Committee Report (Unamended))</vt:lpstr>
    </vt:vector>
  </TitlesOfParts>
  <Company>State of Texas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27165</dc:subject>
  <dc:creator>State of Texas</dc:creator>
  <dc:description>HB 1873 by Dominguez-(H)Licensing &amp; Administrative Procedures</dc:description>
  <cp:lastModifiedBy>Stacey Nicchio</cp:lastModifiedBy>
  <cp:revision>2</cp:revision>
  <cp:lastPrinted>2003-11-26T17:21:00Z</cp:lastPrinted>
  <dcterms:created xsi:type="dcterms:W3CDTF">2019-04-23T18:32:00Z</dcterms:created>
  <dcterms:modified xsi:type="dcterms:W3CDTF">2019-04-23T18:32:00Z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19.104.781</vt:lpwstr>
  </property>
</Properties>
</file>