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E6FF6" w:rsidTr="00345119">
        <w:tc>
          <w:tcPr>
            <w:tcW w:w="9576" w:type="dxa"/>
            <w:noWrap/>
          </w:tcPr>
          <w:p w:rsidR="008423E4" w:rsidRPr="0022177D" w:rsidRDefault="0030252F" w:rsidP="00345119">
            <w:pPr>
              <w:pStyle w:val="Heading1"/>
            </w:pPr>
            <w:bookmarkStart w:id="0" w:name="_GoBack"/>
            <w:bookmarkEnd w:id="0"/>
            <w:r w:rsidRPr="00631897">
              <w:t>BILL ANALYSIS</w:t>
            </w:r>
          </w:p>
        </w:tc>
      </w:tr>
    </w:tbl>
    <w:p w:rsidR="008423E4" w:rsidRPr="0022177D" w:rsidRDefault="0030252F" w:rsidP="008423E4">
      <w:pPr>
        <w:jc w:val="center"/>
      </w:pPr>
    </w:p>
    <w:p w:rsidR="008423E4" w:rsidRPr="00B31F0E" w:rsidRDefault="0030252F" w:rsidP="008423E4"/>
    <w:p w:rsidR="008423E4" w:rsidRPr="00742794" w:rsidRDefault="0030252F" w:rsidP="008423E4">
      <w:pPr>
        <w:tabs>
          <w:tab w:val="right" w:pos="9360"/>
        </w:tabs>
      </w:pPr>
    </w:p>
    <w:tbl>
      <w:tblPr>
        <w:tblW w:w="0" w:type="auto"/>
        <w:tblLayout w:type="fixed"/>
        <w:tblLook w:val="01E0" w:firstRow="1" w:lastRow="1" w:firstColumn="1" w:lastColumn="1" w:noHBand="0" w:noVBand="0"/>
      </w:tblPr>
      <w:tblGrid>
        <w:gridCol w:w="9576"/>
      </w:tblGrid>
      <w:tr w:rsidR="007E6FF6" w:rsidTr="00345119">
        <w:tc>
          <w:tcPr>
            <w:tcW w:w="9576" w:type="dxa"/>
          </w:tcPr>
          <w:p w:rsidR="008423E4" w:rsidRPr="00861995" w:rsidRDefault="0030252F" w:rsidP="00345119">
            <w:pPr>
              <w:jc w:val="right"/>
            </w:pPr>
            <w:r>
              <w:t>H.B. 1883</w:t>
            </w:r>
          </w:p>
        </w:tc>
      </w:tr>
      <w:tr w:rsidR="007E6FF6" w:rsidTr="00345119">
        <w:tc>
          <w:tcPr>
            <w:tcW w:w="9576" w:type="dxa"/>
          </w:tcPr>
          <w:p w:rsidR="008423E4" w:rsidRPr="00861995" w:rsidRDefault="0030252F" w:rsidP="007E7573">
            <w:pPr>
              <w:jc w:val="right"/>
            </w:pPr>
            <w:r>
              <w:t xml:space="preserve">By: </w:t>
            </w:r>
            <w:r>
              <w:t>Bonnen, Greg</w:t>
            </w:r>
          </w:p>
        </w:tc>
      </w:tr>
      <w:tr w:rsidR="007E6FF6" w:rsidTr="00345119">
        <w:tc>
          <w:tcPr>
            <w:tcW w:w="9576" w:type="dxa"/>
          </w:tcPr>
          <w:p w:rsidR="008423E4" w:rsidRPr="00861995" w:rsidRDefault="0030252F" w:rsidP="00345119">
            <w:pPr>
              <w:jc w:val="right"/>
            </w:pPr>
            <w:r>
              <w:t>Ways &amp; Means</w:t>
            </w:r>
          </w:p>
        </w:tc>
      </w:tr>
      <w:tr w:rsidR="007E6FF6" w:rsidTr="00345119">
        <w:tc>
          <w:tcPr>
            <w:tcW w:w="9576" w:type="dxa"/>
          </w:tcPr>
          <w:p w:rsidR="008423E4" w:rsidRDefault="0030252F" w:rsidP="00345119">
            <w:pPr>
              <w:jc w:val="right"/>
            </w:pPr>
            <w:r>
              <w:t>Committee Report (Unamended)</w:t>
            </w:r>
          </w:p>
        </w:tc>
      </w:tr>
    </w:tbl>
    <w:p w:rsidR="008423E4" w:rsidRDefault="0030252F" w:rsidP="008423E4">
      <w:pPr>
        <w:tabs>
          <w:tab w:val="right" w:pos="9360"/>
        </w:tabs>
      </w:pPr>
    </w:p>
    <w:p w:rsidR="008423E4" w:rsidRDefault="0030252F" w:rsidP="008423E4"/>
    <w:p w:rsidR="008423E4" w:rsidRDefault="0030252F" w:rsidP="008423E4"/>
    <w:tbl>
      <w:tblPr>
        <w:tblW w:w="0" w:type="auto"/>
        <w:tblCellMar>
          <w:left w:w="115" w:type="dxa"/>
          <w:right w:w="115" w:type="dxa"/>
        </w:tblCellMar>
        <w:tblLook w:val="01E0" w:firstRow="1" w:lastRow="1" w:firstColumn="1" w:lastColumn="1" w:noHBand="0" w:noVBand="0"/>
      </w:tblPr>
      <w:tblGrid>
        <w:gridCol w:w="9576"/>
      </w:tblGrid>
      <w:tr w:rsidR="007E6FF6" w:rsidTr="00345119">
        <w:tc>
          <w:tcPr>
            <w:tcW w:w="9576" w:type="dxa"/>
          </w:tcPr>
          <w:p w:rsidR="008423E4" w:rsidRPr="00A8133F" w:rsidRDefault="0030252F" w:rsidP="005F4B9E">
            <w:pPr>
              <w:rPr>
                <w:b/>
              </w:rPr>
            </w:pPr>
            <w:r w:rsidRPr="009C1E9A">
              <w:rPr>
                <w:b/>
                <w:u w:val="single"/>
              </w:rPr>
              <w:t>BACKGROUND AND PURPOSE</w:t>
            </w:r>
            <w:r>
              <w:rPr>
                <w:b/>
              </w:rPr>
              <w:t xml:space="preserve"> </w:t>
            </w:r>
          </w:p>
          <w:p w:rsidR="008423E4" w:rsidRDefault="0030252F" w:rsidP="005F4B9E"/>
          <w:p w:rsidR="008423E4" w:rsidRDefault="0030252F" w:rsidP="005F4B9E">
            <w:pPr>
              <w:pStyle w:val="Header"/>
              <w:jc w:val="both"/>
            </w:pPr>
            <w:r>
              <w:t xml:space="preserve">It has been noted that military </w:t>
            </w:r>
            <w:r>
              <w:t>service members</w:t>
            </w:r>
            <w:r>
              <w:t xml:space="preserve"> in any branch of the U.S. armed forces may defer delinquent property tax payments without penalty</w:t>
            </w:r>
            <w:r>
              <w:t xml:space="preserve"> in Texas</w:t>
            </w:r>
            <w:r>
              <w:t xml:space="preserve"> if the </w:t>
            </w:r>
            <w:r>
              <w:t xml:space="preserve">member </w:t>
            </w:r>
            <w:r>
              <w:t>is serving during a war or national emergency. There have been calls to extend this flexibility to defer payments to all military pers</w:t>
            </w:r>
            <w:r>
              <w:t>onnel serving on active</w:t>
            </w:r>
            <w:r>
              <w:t xml:space="preserve"> duty</w:t>
            </w:r>
            <w:r>
              <w:t xml:space="preserve"> in the U.S. armed forces</w:t>
            </w:r>
            <w:r>
              <w:t>,</w:t>
            </w:r>
            <w:r>
              <w:t xml:space="preserve"> regardless of a</w:t>
            </w:r>
            <w:r>
              <w:t xml:space="preserve"> declared</w:t>
            </w:r>
            <w:r>
              <w:t xml:space="preserve"> war </w:t>
            </w:r>
            <w:r>
              <w:t xml:space="preserve">or </w:t>
            </w:r>
            <w:r>
              <w:t xml:space="preserve">emergency. H.B. 1883 seeks to address this issue by revising the military </w:t>
            </w:r>
            <w:r>
              <w:t>service members</w:t>
            </w:r>
            <w:r>
              <w:t xml:space="preserve"> </w:t>
            </w:r>
            <w:r>
              <w:t>eligible to defer delinquent property taxes</w:t>
            </w:r>
            <w:r>
              <w:t>.</w:t>
            </w:r>
          </w:p>
          <w:p w:rsidR="008423E4" w:rsidRPr="00E26B13" w:rsidRDefault="0030252F" w:rsidP="005F4B9E">
            <w:pPr>
              <w:rPr>
                <w:b/>
              </w:rPr>
            </w:pPr>
          </w:p>
        </w:tc>
      </w:tr>
      <w:tr w:rsidR="007E6FF6" w:rsidTr="00345119">
        <w:tc>
          <w:tcPr>
            <w:tcW w:w="9576" w:type="dxa"/>
          </w:tcPr>
          <w:p w:rsidR="0017725B" w:rsidRDefault="0030252F" w:rsidP="005F4B9E">
            <w:pPr>
              <w:rPr>
                <w:b/>
                <w:u w:val="single"/>
              </w:rPr>
            </w:pPr>
            <w:r>
              <w:rPr>
                <w:b/>
                <w:u w:val="single"/>
              </w:rPr>
              <w:t>CRIMINAL JUSTICE IMPACT</w:t>
            </w:r>
          </w:p>
          <w:p w:rsidR="0017725B" w:rsidRDefault="0030252F" w:rsidP="005F4B9E">
            <w:pPr>
              <w:rPr>
                <w:b/>
                <w:u w:val="single"/>
              </w:rPr>
            </w:pPr>
          </w:p>
          <w:p w:rsidR="00763974" w:rsidRPr="00763974" w:rsidRDefault="0030252F" w:rsidP="005F4B9E">
            <w:pPr>
              <w:jc w:val="both"/>
            </w:pPr>
            <w:r>
              <w:t>It is t</w:t>
            </w:r>
            <w:r>
              <w:t>he committee's opinion that this bill does not expressly create a criminal offense, increase the punishment for an existing criminal offense or category of offenses, or change the eligibility of a person for community supervision, parole, or mandatory supe</w:t>
            </w:r>
            <w:r>
              <w:t>rvision.</w:t>
            </w:r>
          </w:p>
          <w:p w:rsidR="0017725B" w:rsidRPr="0017725B" w:rsidRDefault="0030252F" w:rsidP="005F4B9E">
            <w:pPr>
              <w:rPr>
                <w:b/>
                <w:u w:val="single"/>
              </w:rPr>
            </w:pPr>
          </w:p>
        </w:tc>
      </w:tr>
      <w:tr w:rsidR="007E6FF6" w:rsidTr="00345119">
        <w:tc>
          <w:tcPr>
            <w:tcW w:w="9576" w:type="dxa"/>
          </w:tcPr>
          <w:p w:rsidR="008423E4" w:rsidRPr="00A8133F" w:rsidRDefault="0030252F" w:rsidP="005F4B9E">
            <w:pPr>
              <w:rPr>
                <w:b/>
              </w:rPr>
            </w:pPr>
            <w:r w:rsidRPr="009C1E9A">
              <w:rPr>
                <w:b/>
                <w:u w:val="single"/>
              </w:rPr>
              <w:t>RULEMAKING AUTHORITY</w:t>
            </w:r>
            <w:r>
              <w:rPr>
                <w:b/>
              </w:rPr>
              <w:t xml:space="preserve"> </w:t>
            </w:r>
          </w:p>
          <w:p w:rsidR="008423E4" w:rsidRDefault="0030252F" w:rsidP="005F4B9E"/>
          <w:p w:rsidR="00763974" w:rsidRDefault="0030252F" w:rsidP="005F4B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0252F" w:rsidP="005F4B9E">
            <w:pPr>
              <w:rPr>
                <w:b/>
              </w:rPr>
            </w:pPr>
          </w:p>
        </w:tc>
      </w:tr>
      <w:tr w:rsidR="007E6FF6" w:rsidTr="00345119">
        <w:tc>
          <w:tcPr>
            <w:tcW w:w="9576" w:type="dxa"/>
          </w:tcPr>
          <w:p w:rsidR="008423E4" w:rsidRPr="00A8133F" w:rsidRDefault="0030252F" w:rsidP="005F4B9E">
            <w:pPr>
              <w:rPr>
                <w:b/>
              </w:rPr>
            </w:pPr>
            <w:r w:rsidRPr="009C1E9A">
              <w:rPr>
                <w:b/>
                <w:u w:val="single"/>
              </w:rPr>
              <w:t>ANALYSIS</w:t>
            </w:r>
            <w:r>
              <w:rPr>
                <w:b/>
              </w:rPr>
              <w:t xml:space="preserve"> </w:t>
            </w:r>
          </w:p>
          <w:p w:rsidR="008423E4" w:rsidRDefault="0030252F" w:rsidP="005F4B9E"/>
          <w:p w:rsidR="008423E4" w:rsidRDefault="0030252F" w:rsidP="005F4B9E">
            <w:pPr>
              <w:pStyle w:val="Header"/>
              <w:tabs>
                <w:tab w:val="clear" w:pos="4320"/>
                <w:tab w:val="clear" w:pos="8640"/>
              </w:tabs>
              <w:jc w:val="both"/>
            </w:pPr>
            <w:r>
              <w:t xml:space="preserve">H.B. 1883 amends the Tax Code to </w:t>
            </w:r>
            <w:r>
              <w:t xml:space="preserve">remove </w:t>
            </w:r>
            <w:r>
              <w:t xml:space="preserve">as a condition of </w:t>
            </w:r>
            <w:r>
              <w:t>eligib</w:t>
            </w:r>
            <w:r>
              <w:t xml:space="preserve">ility </w:t>
            </w:r>
            <w:r>
              <w:t xml:space="preserve">for </w:t>
            </w:r>
            <w:r>
              <w:t xml:space="preserve">a </w:t>
            </w:r>
            <w:r>
              <w:t xml:space="preserve">person serving on active duty in the U.S. armed forces </w:t>
            </w:r>
            <w:r>
              <w:t>to</w:t>
            </w:r>
            <w:r>
              <w:t xml:space="preserve"> defer payment of </w:t>
            </w:r>
            <w:r>
              <w:t xml:space="preserve">delinquent </w:t>
            </w:r>
            <w:r>
              <w:t>property taxes</w:t>
            </w:r>
            <w:r>
              <w:t xml:space="preserve"> </w:t>
            </w:r>
            <w:r>
              <w:t xml:space="preserve">without penalty or interest the condition that the person is serving during </w:t>
            </w:r>
            <w:r w:rsidRPr="004B4E83">
              <w:t>a war or national emergency declared in acc</w:t>
            </w:r>
            <w:r w:rsidRPr="004B4E83">
              <w:t>ordance with federal law</w:t>
            </w:r>
            <w:r>
              <w:t>.</w:t>
            </w:r>
            <w:r>
              <w:t xml:space="preserve"> The bill establishes that a delinquent tax for which such person defers payment that is not paid on or before the date the deferral period</w:t>
            </w:r>
            <w:r>
              <w:t xml:space="preserve"> expires accrues interest at a rate of six percent for each year or portion of a year the ta</w:t>
            </w:r>
            <w:r>
              <w:t xml:space="preserve">x remains unpaid and does not incur a penalty. </w:t>
            </w:r>
            <w:r>
              <w:t>The bill applies to penalties and interest on delinquent taxes if the taxes are paid on or after the bill's effective date, even if the penalties or interest accrued before that date.</w:t>
            </w:r>
            <w:r>
              <w:t xml:space="preserve">  </w:t>
            </w:r>
          </w:p>
          <w:p w:rsidR="008423E4" w:rsidRPr="00835628" w:rsidRDefault="0030252F" w:rsidP="005F4B9E">
            <w:pPr>
              <w:rPr>
                <w:b/>
              </w:rPr>
            </w:pPr>
          </w:p>
        </w:tc>
      </w:tr>
      <w:tr w:rsidR="007E6FF6" w:rsidTr="00345119">
        <w:tc>
          <w:tcPr>
            <w:tcW w:w="9576" w:type="dxa"/>
          </w:tcPr>
          <w:p w:rsidR="008423E4" w:rsidRPr="00A8133F" w:rsidRDefault="0030252F" w:rsidP="005F4B9E">
            <w:pPr>
              <w:rPr>
                <w:b/>
              </w:rPr>
            </w:pPr>
            <w:r w:rsidRPr="009C1E9A">
              <w:rPr>
                <w:b/>
                <w:u w:val="single"/>
              </w:rPr>
              <w:t>EFFECTIVE DATE</w:t>
            </w:r>
            <w:r>
              <w:rPr>
                <w:b/>
              </w:rPr>
              <w:t xml:space="preserve"> </w:t>
            </w:r>
          </w:p>
          <w:p w:rsidR="008423E4" w:rsidRDefault="0030252F" w:rsidP="005F4B9E"/>
          <w:p w:rsidR="008423E4" w:rsidRPr="003624F2" w:rsidRDefault="0030252F" w:rsidP="005F4B9E">
            <w:pPr>
              <w:pStyle w:val="Header"/>
              <w:tabs>
                <w:tab w:val="clear" w:pos="4320"/>
                <w:tab w:val="clear" w:pos="8640"/>
              </w:tabs>
              <w:jc w:val="both"/>
            </w:pPr>
            <w:r>
              <w:t>Sept</w:t>
            </w:r>
            <w:r>
              <w:t>ember 1, 2019.</w:t>
            </w:r>
          </w:p>
          <w:p w:rsidR="008423E4" w:rsidRPr="00233FDB" w:rsidRDefault="0030252F" w:rsidP="005F4B9E">
            <w:pPr>
              <w:rPr>
                <w:b/>
              </w:rPr>
            </w:pPr>
          </w:p>
        </w:tc>
      </w:tr>
    </w:tbl>
    <w:p w:rsidR="008423E4" w:rsidRPr="00BE0E75" w:rsidRDefault="0030252F" w:rsidP="008423E4">
      <w:pPr>
        <w:spacing w:line="480" w:lineRule="auto"/>
        <w:jc w:val="both"/>
        <w:rPr>
          <w:rFonts w:ascii="Arial" w:hAnsi="Arial"/>
          <w:sz w:val="16"/>
          <w:szCs w:val="16"/>
        </w:rPr>
      </w:pPr>
    </w:p>
    <w:p w:rsidR="004108C3" w:rsidRPr="008423E4" w:rsidRDefault="0030252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252F">
      <w:r>
        <w:separator/>
      </w:r>
    </w:p>
  </w:endnote>
  <w:endnote w:type="continuationSeparator" w:id="0">
    <w:p w:rsidR="00000000" w:rsidRDefault="0030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E6FF6" w:rsidTr="009C1E9A">
      <w:trPr>
        <w:cantSplit/>
      </w:trPr>
      <w:tc>
        <w:tcPr>
          <w:tcW w:w="0" w:type="pct"/>
        </w:tcPr>
        <w:p w:rsidR="00137D90" w:rsidRDefault="0030252F" w:rsidP="009C1E9A">
          <w:pPr>
            <w:pStyle w:val="Footer"/>
            <w:tabs>
              <w:tab w:val="clear" w:pos="8640"/>
              <w:tab w:val="right" w:pos="9360"/>
            </w:tabs>
          </w:pPr>
        </w:p>
      </w:tc>
      <w:tc>
        <w:tcPr>
          <w:tcW w:w="2395" w:type="pct"/>
        </w:tcPr>
        <w:p w:rsidR="00137D90" w:rsidRDefault="0030252F" w:rsidP="009C1E9A">
          <w:pPr>
            <w:pStyle w:val="Footer"/>
            <w:tabs>
              <w:tab w:val="clear" w:pos="8640"/>
              <w:tab w:val="right" w:pos="9360"/>
            </w:tabs>
          </w:pPr>
        </w:p>
        <w:p w:rsidR="001A4310" w:rsidRDefault="0030252F" w:rsidP="009C1E9A">
          <w:pPr>
            <w:pStyle w:val="Footer"/>
            <w:tabs>
              <w:tab w:val="clear" w:pos="8640"/>
              <w:tab w:val="right" w:pos="9360"/>
            </w:tabs>
          </w:pPr>
        </w:p>
        <w:p w:rsidR="00137D90" w:rsidRDefault="0030252F" w:rsidP="009C1E9A">
          <w:pPr>
            <w:pStyle w:val="Footer"/>
            <w:tabs>
              <w:tab w:val="clear" w:pos="8640"/>
              <w:tab w:val="right" w:pos="9360"/>
            </w:tabs>
          </w:pPr>
        </w:p>
      </w:tc>
      <w:tc>
        <w:tcPr>
          <w:tcW w:w="2453" w:type="pct"/>
        </w:tcPr>
        <w:p w:rsidR="00137D90" w:rsidRDefault="0030252F" w:rsidP="009C1E9A">
          <w:pPr>
            <w:pStyle w:val="Footer"/>
            <w:tabs>
              <w:tab w:val="clear" w:pos="8640"/>
              <w:tab w:val="right" w:pos="9360"/>
            </w:tabs>
            <w:jc w:val="right"/>
          </w:pPr>
        </w:p>
      </w:tc>
    </w:tr>
    <w:tr w:rsidR="007E6FF6" w:rsidTr="009C1E9A">
      <w:trPr>
        <w:cantSplit/>
      </w:trPr>
      <w:tc>
        <w:tcPr>
          <w:tcW w:w="0" w:type="pct"/>
        </w:tcPr>
        <w:p w:rsidR="00EC379B" w:rsidRDefault="0030252F" w:rsidP="009C1E9A">
          <w:pPr>
            <w:pStyle w:val="Footer"/>
            <w:tabs>
              <w:tab w:val="clear" w:pos="8640"/>
              <w:tab w:val="right" w:pos="9360"/>
            </w:tabs>
          </w:pPr>
        </w:p>
      </w:tc>
      <w:tc>
        <w:tcPr>
          <w:tcW w:w="2395" w:type="pct"/>
        </w:tcPr>
        <w:p w:rsidR="00EC379B" w:rsidRPr="009C1E9A" w:rsidRDefault="0030252F" w:rsidP="009C1E9A">
          <w:pPr>
            <w:pStyle w:val="Footer"/>
            <w:tabs>
              <w:tab w:val="clear" w:pos="8640"/>
              <w:tab w:val="right" w:pos="9360"/>
            </w:tabs>
            <w:rPr>
              <w:rFonts w:ascii="Shruti" w:hAnsi="Shruti"/>
              <w:sz w:val="22"/>
            </w:rPr>
          </w:pPr>
          <w:r>
            <w:rPr>
              <w:rFonts w:ascii="Shruti" w:hAnsi="Shruti"/>
              <w:sz w:val="22"/>
            </w:rPr>
            <w:t>86R 23374</w:t>
          </w:r>
        </w:p>
      </w:tc>
      <w:tc>
        <w:tcPr>
          <w:tcW w:w="2453" w:type="pct"/>
        </w:tcPr>
        <w:p w:rsidR="00EC379B" w:rsidRDefault="0030252F" w:rsidP="009C1E9A">
          <w:pPr>
            <w:pStyle w:val="Footer"/>
            <w:tabs>
              <w:tab w:val="clear" w:pos="8640"/>
              <w:tab w:val="right" w:pos="9360"/>
            </w:tabs>
            <w:jc w:val="right"/>
          </w:pPr>
          <w:r>
            <w:fldChar w:fldCharType="begin"/>
          </w:r>
          <w:r>
            <w:instrText xml:space="preserve"> DOCPROPERTY  OTID  \* MERGEFORMAT </w:instrText>
          </w:r>
          <w:r>
            <w:fldChar w:fldCharType="separate"/>
          </w:r>
          <w:r>
            <w:t>19.90.608</w:t>
          </w:r>
          <w:r>
            <w:fldChar w:fldCharType="end"/>
          </w:r>
        </w:p>
      </w:tc>
    </w:tr>
    <w:tr w:rsidR="007E6FF6" w:rsidTr="009C1E9A">
      <w:trPr>
        <w:cantSplit/>
      </w:trPr>
      <w:tc>
        <w:tcPr>
          <w:tcW w:w="0" w:type="pct"/>
        </w:tcPr>
        <w:p w:rsidR="00EC379B" w:rsidRDefault="0030252F" w:rsidP="009C1E9A">
          <w:pPr>
            <w:pStyle w:val="Footer"/>
            <w:tabs>
              <w:tab w:val="clear" w:pos="4320"/>
              <w:tab w:val="clear" w:pos="8640"/>
              <w:tab w:val="left" w:pos="2865"/>
            </w:tabs>
          </w:pPr>
        </w:p>
      </w:tc>
      <w:tc>
        <w:tcPr>
          <w:tcW w:w="2395" w:type="pct"/>
        </w:tcPr>
        <w:p w:rsidR="00EC379B" w:rsidRPr="009C1E9A" w:rsidRDefault="0030252F" w:rsidP="009C1E9A">
          <w:pPr>
            <w:pStyle w:val="Footer"/>
            <w:tabs>
              <w:tab w:val="clear" w:pos="4320"/>
              <w:tab w:val="clear" w:pos="8640"/>
              <w:tab w:val="left" w:pos="2865"/>
            </w:tabs>
            <w:rPr>
              <w:rFonts w:ascii="Shruti" w:hAnsi="Shruti"/>
              <w:sz w:val="22"/>
            </w:rPr>
          </w:pPr>
        </w:p>
      </w:tc>
      <w:tc>
        <w:tcPr>
          <w:tcW w:w="2453" w:type="pct"/>
        </w:tcPr>
        <w:p w:rsidR="00EC379B" w:rsidRDefault="0030252F" w:rsidP="006D504F">
          <w:pPr>
            <w:pStyle w:val="Footer"/>
            <w:rPr>
              <w:rStyle w:val="PageNumber"/>
            </w:rPr>
          </w:pPr>
        </w:p>
        <w:p w:rsidR="00EC379B" w:rsidRDefault="0030252F" w:rsidP="009C1E9A">
          <w:pPr>
            <w:pStyle w:val="Footer"/>
            <w:tabs>
              <w:tab w:val="clear" w:pos="8640"/>
              <w:tab w:val="right" w:pos="9360"/>
            </w:tabs>
            <w:jc w:val="right"/>
          </w:pPr>
        </w:p>
      </w:tc>
    </w:tr>
    <w:tr w:rsidR="007E6FF6" w:rsidTr="009C1E9A">
      <w:trPr>
        <w:cantSplit/>
        <w:trHeight w:val="323"/>
      </w:trPr>
      <w:tc>
        <w:tcPr>
          <w:tcW w:w="0" w:type="pct"/>
          <w:gridSpan w:val="3"/>
        </w:tcPr>
        <w:p w:rsidR="00EC379B" w:rsidRDefault="003025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252F" w:rsidP="009C1E9A">
          <w:pPr>
            <w:pStyle w:val="Footer"/>
            <w:tabs>
              <w:tab w:val="clear" w:pos="8640"/>
              <w:tab w:val="right" w:pos="9360"/>
            </w:tabs>
            <w:jc w:val="center"/>
          </w:pPr>
        </w:p>
      </w:tc>
    </w:tr>
  </w:tbl>
  <w:p w:rsidR="00EC379B" w:rsidRPr="00FF6F72" w:rsidRDefault="0030252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252F">
      <w:r>
        <w:separator/>
      </w:r>
    </w:p>
  </w:footnote>
  <w:footnote w:type="continuationSeparator" w:id="0">
    <w:p w:rsidR="00000000" w:rsidRDefault="0030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2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F6"/>
    <w:rsid w:val="0030252F"/>
    <w:rsid w:val="007E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EA6AE3-551F-4E27-9077-9DA06CCC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3974"/>
    <w:rPr>
      <w:sz w:val="16"/>
      <w:szCs w:val="16"/>
    </w:rPr>
  </w:style>
  <w:style w:type="paragraph" w:styleId="CommentText">
    <w:name w:val="annotation text"/>
    <w:basedOn w:val="Normal"/>
    <w:link w:val="CommentTextChar"/>
    <w:semiHidden/>
    <w:unhideWhenUsed/>
    <w:rsid w:val="00763974"/>
    <w:rPr>
      <w:sz w:val="20"/>
      <w:szCs w:val="20"/>
    </w:rPr>
  </w:style>
  <w:style w:type="character" w:customStyle="1" w:styleId="CommentTextChar">
    <w:name w:val="Comment Text Char"/>
    <w:basedOn w:val="DefaultParagraphFont"/>
    <w:link w:val="CommentText"/>
    <w:semiHidden/>
    <w:rsid w:val="00763974"/>
  </w:style>
  <w:style w:type="paragraph" w:styleId="CommentSubject">
    <w:name w:val="annotation subject"/>
    <w:basedOn w:val="CommentText"/>
    <w:next w:val="CommentText"/>
    <w:link w:val="CommentSubjectChar"/>
    <w:semiHidden/>
    <w:unhideWhenUsed/>
    <w:rsid w:val="00763974"/>
    <w:rPr>
      <w:b/>
      <w:bCs/>
    </w:rPr>
  </w:style>
  <w:style w:type="character" w:customStyle="1" w:styleId="CommentSubjectChar">
    <w:name w:val="Comment Subject Char"/>
    <w:basedOn w:val="CommentTextChar"/>
    <w:link w:val="CommentSubject"/>
    <w:semiHidden/>
    <w:rsid w:val="00763974"/>
    <w:rPr>
      <w:b/>
      <w:bCs/>
    </w:rPr>
  </w:style>
  <w:style w:type="paragraph" w:styleId="Revision">
    <w:name w:val="Revision"/>
    <w:hidden/>
    <w:uiPriority w:val="99"/>
    <w:semiHidden/>
    <w:rsid w:val="00EF6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1618</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HB01883 (Committee Report (Unamended))</vt:lpstr>
    </vt:vector>
  </TitlesOfParts>
  <Company>State of Texas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23374</dc:subject>
  <dc:creator>State of Texas</dc:creator>
  <dc:description>HB 1883 by Bonnen, Greg-(H)Ways &amp; Means</dc:description>
  <cp:lastModifiedBy>Stacey Nicchio</cp:lastModifiedBy>
  <cp:revision>2</cp:revision>
  <cp:lastPrinted>2003-11-26T17:21:00Z</cp:lastPrinted>
  <dcterms:created xsi:type="dcterms:W3CDTF">2019-04-12T23:34:00Z</dcterms:created>
  <dcterms:modified xsi:type="dcterms:W3CDTF">2019-04-12T23:34:00Z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19.90.608</vt:lpwstr>
  </property>
</Properties>
</file>