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568E" w:rsidTr="00345119">
        <w:tc>
          <w:tcPr>
            <w:tcW w:w="9576" w:type="dxa"/>
            <w:noWrap/>
          </w:tcPr>
          <w:p w:rsidR="008423E4" w:rsidRPr="0022177D" w:rsidRDefault="00EF09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09C9" w:rsidP="008423E4">
      <w:pPr>
        <w:jc w:val="center"/>
      </w:pPr>
    </w:p>
    <w:p w:rsidR="008423E4" w:rsidRPr="001C7790" w:rsidRDefault="00EF09C9" w:rsidP="008423E4">
      <w:pPr>
        <w:rPr>
          <w:sz w:val="22"/>
        </w:rPr>
      </w:pPr>
    </w:p>
    <w:p w:rsidR="008423E4" w:rsidRPr="001C7790" w:rsidRDefault="00EF09C9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568E" w:rsidTr="00345119">
        <w:tc>
          <w:tcPr>
            <w:tcW w:w="9576" w:type="dxa"/>
          </w:tcPr>
          <w:p w:rsidR="008423E4" w:rsidRPr="00861995" w:rsidRDefault="00EF09C9" w:rsidP="00345119">
            <w:pPr>
              <w:jc w:val="right"/>
            </w:pPr>
            <w:r>
              <w:t>C.S.H.B. 1899</w:t>
            </w:r>
          </w:p>
        </w:tc>
      </w:tr>
      <w:tr w:rsidR="00D4568E" w:rsidTr="00345119">
        <w:tc>
          <w:tcPr>
            <w:tcW w:w="9576" w:type="dxa"/>
          </w:tcPr>
          <w:p w:rsidR="008423E4" w:rsidRPr="00861995" w:rsidRDefault="00EF09C9" w:rsidP="004D6BF9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D4568E" w:rsidTr="00345119">
        <w:tc>
          <w:tcPr>
            <w:tcW w:w="9576" w:type="dxa"/>
          </w:tcPr>
          <w:p w:rsidR="008423E4" w:rsidRPr="00861995" w:rsidRDefault="00EF09C9" w:rsidP="00345119">
            <w:pPr>
              <w:jc w:val="right"/>
            </w:pPr>
            <w:r>
              <w:t>Public Health</w:t>
            </w:r>
          </w:p>
        </w:tc>
      </w:tr>
      <w:tr w:rsidR="00D4568E" w:rsidTr="00345119">
        <w:tc>
          <w:tcPr>
            <w:tcW w:w="9576" w:type="dxa"/>
          </w:tcPr>
          <w:p w:rsidR="008423E4" w:rsidRDefault="00EF09C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1C7790" w:rsidRDefault="00EF09C9" w:rsidP="008423E4">
      <w:pPr>
        <w:tabs>
          <w:tab w:val="right" w:pos="9360"/>
        </w:tabs>
        <w:rPr>
          <w:sz w:val="22"/>
        </w:rPr>
      </w:pPr>
    </w:p>
    <w:p w:rsidR="008423E4" w:rsidRPr="001C7790" w:rsidRDefault="00EF09C9" w:rsidP="008423E4">
      <w:pPr>
        <w:rPr>
          <w:sz w:val="22"/>
        </w:rPr>
      </w:pPr>
    </w:p>
    <w:p w:rsidR="008423E4" w:rsidRPr="001C7790" w:rsidRDefault="00EF09C9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568E" w:rsidTr="00345119">
        <w:tc>
          <w:tcPr>
            <w:tcW w:w="9576" w:type="dxa"/>
          </w:tcPr>
          <w:p w:rsidR="008423E4" w:rsidRPr="00A8133F" w:rsidRDefault="00EF09C9" w:rsidP="00C56A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1C7790" w:rsidRDefault="00EF09C9" w:rsidP="00C56A45">
            <w:pPr>
              <w:rPr>
                <w:sz w:val="22"/>
              </w:rPr>
            </w:pPr>
          </w:p>
          <w:p w:rsidR="008423E4" w:rsidRDefault="00EF09C9" w:rsidP="00C56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prevalence of</w:t>
            </w:r>
            <w:r w:rsidRPr="00D51442">
              <w:t xml:space="preserve"> licensed health care professionals using their privilege</w:t>
            </w:r>
            <w:r>
              <w:t xml:space="preserve"> and position of authority</w:t>
            </w:r>
            <w:r w:rsidRPr="00D51442">
              <w:t xml:space="preserve"> to commit crimes </w:t>
            </w:r>
            <w:r>
              <w:t>against vulnerable</w:t>
            </w:r>
            <w:r w:rsidRPr="00D51442">
              <w:t xml:space="preserve"> patients.</w:t>
            </w:r>
            <w:r>
              <w:t xml:space="preserve"> It has been suggested that </w:t>
            </w:r>
            <w:r>
              <w:t>one</w:t>
            </w:r>
            <w:r>
              <w:t xml:space="preserve"> </w:t>
            </w:r>
            <w:r w:rsidRPr="00D51442">
              <w:t xml:space="preserve">way to prevent these horrific crimes </w:t>
            </w:r>
            <w:r>
              <w:t>is</w:t>
            </w:r>
            <w:r w:rsidRPr="00D51442">
              <w:t xml:space="preserve"> </w:t>
            </w:r>
            <w:r>
              <w:t>to make</w:t>
            </w:r>
            <w:r>
              <w:t xml:space="preserve"> individuals who have committed certain crimes, including registered sex offenders, ineligible for health</w:t>
            </w:r>
            <w:r>
              <w:t xml:space="preserve"> care professional licenses and </w:t>
            </w:r>
            <w:r>
              <w:t xml:space="preserve">to </w:t>
            </w:r>
            <w:r>
              <w:t xml:space="preserve">implement </w:t>
            </w:r>
            <w:r w:rsidRPr="00D51442">
              <w:t>a standard procedure</w:t>
            </w:r>
            <w:r>
              <w:t xml:space="preserve"> </w:t>
            </w:r>
            <w:r>
              <w:t xml:space="preserve">for notification of </w:t>
            </w:r>
            <w:r>
              <w:t>appropriate</w:t>
            </w:r>
            <w:r>
              <w:t xml:space="preserve"> </w:t>
            </w:r>
            <w:r>
              <w:t>agencies</w:t>
            </w:r>
            <w:r w:rsidRPr="00D51442">
              <w:t>.</w:t>
            </w:r>
            <w:r>
              <w:t xml:space="preserve"> </w:t>
            </w:r>
            <w:r>
              <w:t>C.S.</w:t>
            </w:r>
            <w:r>
              <w:t>H.B. 1899 seeks to address this issue by providi</w:t>
            </w:r>
            <w:r>
              <w:t xml:space="preserve">ng for such </w:t>
            </w:r>
            <w:r>
              <w:t xml:space="preserve">ineligibility and </w:t>
            </w:r>
            <w:r>
              <w:t xml:space="preserve">notification. </w:t>
            </w:r>
          </w:p>
          <w:p w:rsidR="008423E4" w:rsidRPr="001C7790" w:rsidRDefault="00EF09C9" w:rsidP="00C56A45">
            <w:pPr>
              <w:rPr>
                <w:b/>
                <w:sz w:val="22"/>
              </w:rPr>
            </w:pPr>
          </w:p>
        </w:tc>
      </w:tr>
      <w:tr w:rsidR="00D4568E" w:rsidTr="00345119">
        <w:tc>
          <w:tcPr>
            <w:tcW w:w="9576" w:type="dxa"/>
          </w:tcPr>
          <w:p w:rsidR="0017725B" w:rsidRDefault="00EF09C9" w:rsidP="00C56A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1C7790" w:rsidRDefault="00EF09C9" w:rsidP="00C56A45">
            <w:pPr>
              <w:rPr>
                <w:b/>
                <w:sz w:val="22"/>
                <w:u w:val="single"/>
              </w:rPr>
            </w:pPr>
          </w:p>
          <w:p w:rsidR="00007DB0" w:rsidRPr="00007DB0" w:rsidRDefault="00EF09C9" w:rsidP="00C56A4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C7790" w:rsidRDefault="00EF09C9" w:rsidP="00C56A45">
            <w:pPr>
              <w:rPr>
                <w:b/>
                <w:sz w:val="22"/>
                <w:u w:val="single"/>
              </w:rPr>
            </w:pPr>
          </w:p>
        </w:tc>
      </w:tr>
      <w:tr w:rsidR="00D4568E" w:rsidTr="00345119">
        <w:tc>
          <w:tcPr>
            <w:tcW w:w="9576" w:type="dxa"/>
          </w:tcPr>
          <w:p w:rsidR="008423E4" w:rsidRPr="00A8133F" w:rsidRDefault="00EF09C9" w:rsidP="00C56A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Pr="001C7790" w:rsidRDefault="00EF09C9" w:rsidP="00C56A45">
            <w:pPr>
              <w:rPr>
                <w:sz w:val="20"/>
              </w:rPr>
            </w:pPr>
          </w:p>
          <w:p w:rsidR="00007DB0" w:rsidRDefault="00EF09C9" w:rsidP="00C56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1C7790" w:rsidRDefault="00EF09C9" w:rsidP="00C56A45">
            <w:pPr>
              <w:rPr>
                <w:b/>
                <w:sz w:val="22"/>
              </w:rPr>
            </w:pPr>
          </w:p>
        </w:tc>
      </w:tr>
      <w:tr w:rsidR="00D4568E" w:rsidTr="00345119">
        <w:tc>
          <w:tcPr>
            <w:tcW w:w="9576" w:type="dxa"/>
          </w:tcPr>
          <w:p w:rsidR="008423E4" w:rsidRPr="00A8133F" w:rsidRDefault="00EF09C9" w:rsidP="00C56A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Pr="001C7790" w:rsidRDefault="00EF09C9" w:rsidP="00C56A45">
            <w:pPr>
              <w:rPr>
                <w:sz w:val="20"/>
              </w:rPr>
            </w:pPr>
          </w:p>
          <w:p w:rsidR="00D61C5F" w:rsidRDefault="00EF09C9" w:rsidP="00C56A45">
            <w:pPr>
              <w:pStyle w:val="Header"/>
              <w:jc w:val="both"/>
            </w:pPr>
            <w:r>
              <w:t>C.S.</w:t>
            </w:r>
            <w:r>
              <w:t>H.B. 1899 amends the Occupations Code to require a</w:t>
            </w:r>
            <w:r>
              <w:t xml:space="preserve">n </w:t>
            </w:r>
            <w:r>
              <w:t>applicable</w:t>
            </w:r>
            <w:r>
              <w:t xml:space="preserve"> licensing authority to deny an application for </w:t>
            </w:r>
            <w:r w:rsidRPr="00866113">
              <w:t>a health care professional</w:t>
            </w:r>
            <w:r>
              <w:t xml:space="preserve"> license</w:t>
            </w:r>
            <w:r w:rsidRPr="00866113">
              <w:t xml:space="preserve"> </w:t>
            </w:r>
            <w:r>
              <w:t>for an applicant who</w:t>
            </w:r>
            <w:r>
              <w:t>:</w:t>
            </w:r>
          </w:p>
          <w:p w:rsidR="00D61C5F" w:rsidRDefault="00EF09C9" w:rsidP="00C56A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required to register as a sex offender</w:t>
            </w:r>
            <w:r>
              <w:t>;</w:t>
            </w:r>
            <w:r>
              <w:t xml:space="preserve"> </w:t>
            </w:r>
          </w:p>
          <w:p w:rsidR="00D61C5F" w:rsidRDefault="00EF09C9" w:rsidP="00C56A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been previously convicted of or placed on deferred adjudication community supervision for the</w:t>
            </w:r>
            <w:r>
              <w:t xml:space="preserve"> commission of a felony offense invol</w:t>
            </w:r>
            <w:r>
              <w:t>ving the use or threat of force;</w:t>
            </w:r>
            <w:r>
              <w:t xml:space="preserve"> or </w:t>
            </w:r>
          </w:p>
          <w:p w:rsidR="00D61C5F" w:rsidRDefault="00EF09C9" w:rsidP="00C56A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has been previously convicted of or placed on deferred adjudication community supervision for the commission of </w:t>
            </w:r>
            <w:r>
              <w:t>sexual assault, aggravated assault, aggravated sexual assault, or inju</w:t>
            </w:r>
            <w:r>
              <w:t>ry to a child, elderly individual, or disabled individual,</w:t>
            </w:r>
            <w:r w:rsidRPr="00723C3B">
              <w:t xml:space="preserve"> </w:t>
            </w:r>
            <w:r w:rsidRPr="00723C3B">
              <w:t>or an equivalent offense under the laws of another state or federal law</w:t>
            </w:r>
            <w:r>
              <w:t>,</w:t>
            </w:r>
            <w:r w:rsidRPr="00723C3B">
              <w:t xml:space="preserve"> </w:t>
            </w:r>
            <w:r w:rsidRPr="00723C3B">
              <w:t xml:space="preserve">in which the victim </w:t>
            </w:r>
            <w:r>
              <w:t xml:space="preserve">of the offense </w:t>
            </w:r>
            <w:r w:rsidRPr="00723C3B">
              <w:t xml:space="preserve">was a patient of the applicant and </w:t>
            </w:r>
            <w:r w:rsidRPr="00723C3B">
              <w:t>that w</w:t>
            </w:r>
            <w:r>
              <w:t>as</w:t>
            </w:r>
            <w:r w:rsidRPr="00723C3B">
              <w:t xml:space="preserve"> committed</w:t>
            </w:r>
            <w:r>
              <w:t>:</w:t>
            </w:r>
          </w:p>
          <w:p w:rsidR="002452AE" w:rsidRDefault="00EF09C9" w:rsidP="00C56A4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when the applicant held </w:t>
            </w:r>
            <w:r w:rsidRPr="00866113">
              <w:t xml:space="preserve">a health </w:t>
            </w:r>
            <w:r w:rsidRPr="00866113">
              <w:t>care professional</w:t>
            </w:r>
            <w:r>
              <w:t xml:space="preserve"> license</w:t>
            </w:r>
            <w:r w:rsidRPr="00866113">
              <w:t xml:space="preserve"> </w:t>
            </w:r>
            <w:r>
              <w:t>in Texas or another state;</w:t>
            </w:r>
            <w:r>
              <w:t xml:space="preserve"> and</w:t>
            </w:r>
          </w:p>
          <w:p w:rsidR="00D61C5F" w:rsidRDefault="00EF09C9" w:rsidP="00C56A4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in the course of providing services within the scope of the applicant's licen</w:t>
            </w:r>
            <w:r>
              <w:t>se</w:t>
            </w:r>
            <w:r>
              <w:t xml:space="preserve">. </w:t>
            </w:r>
          </w:p>
          <w:p w:rsidR="00827D64" w:rsidRPr="001C7790" w:rsidRDefault="00EF09C9" w:rsidP="00C56A45">
            <w:pPr>
              <w:pStyle w:val="Header"/>
              <w:jc w:val="both"/>
              <w:rPr>
                <w:sz w:val="20"/>
              </w:rPr>
            </w:pPr>
          </w:p>
          <w:p w:rsidR="00827D64" w:rsidRDefault="00EF09C9" w:rsidP="00C56A45">
            <w:pPr>
              <w:pStyle w:val="Header"/>
              <w:jc w:val="both"/>
            </w:pPr>
            <w:r>
              <w:t>C.S.H.B. 1899</w:t>
            </w:r>
            <w:r>
              <w:t xml:space="preserve"> </w:t>
            </w:r>
            <w:r>
              <w:t>establishes that</w:t>
            </w:r>
            <w:r>
              <w:t xml:space="preserve"> </w:t>
            </w:r>
            <w:r w:rsidRPr="00866113">
              <w:t>a health care professional</w:t>
            </w:r>
            <w:r>
              <w:t xml:space="preserve"> license</w:t>
            </w:r>
            <w:r w:rsidRPr="00866113">
              <w:t xml:space="preserve"> </w:t>
            </w:r>
            <w:r>
              <w:t>is revoked if</w:t>
            </w:r>
            <w:r>
              <w:t xml:space="preserve"> the health care professional </w:t>
            </w:r>
            <w:r>
              <w:t>is</w:t>
            </w:r>
            <w:r>
              <w:t>:</w:t>
            </w:r>
          </w:p>
          <w:p w:rsidR="00827D64" w:rsidRDefault="00EF09C9" w:rsidP="00C56A4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281D63">
              <w:t>con</w:t>
            </w:r>
            <w:r w:rsidRPr="00281D63">
              <w:t xml:space="preserve">victed or placed on deferred adjudication community supervision </w:t>
            </w:r>
            <w:r>
              <w:t>for a</w:t>
            </w:r>
            <w:r>
              <w:t>n applicable</w:t>
            </w:r>
            <w:r>
              <w:t xml:space="preserve"> felony offense or</w:t>
            </w:r>
            <w:r w:rsidRPr="000C7D49">
              <w:t xml:space="preserve"> </w:t>
            </w:r>
            <w:r>
              <w:t>assaultive</w:t>
            </w:r>
            <w:r w:rsidRPr="000C7D49">
              <w:t xml:space="preserve"> offense</w:t>
            </w:r>
            <w:r w:rsidRPr="00281D63">
              <w:t xml:space="preserve"> for </w:t>
            </w:r>
            <w:r w:rsidRPr="00281D63">
              <w:t xml:space="preserve">which </w:t>
            </w:r>
            <w:r>
              <w:t>an</w:t>
            </w:r>
            <w:r w:rsidRPr="00281D63">
              <w:t xml:space="preserve"> </w:t>
            </w:r>
            <w:r w:rsidRPr="00281D63">
              <w:t xml:space="preserve">application is required to be denied under </w:t>
            </w:r>
            <w:r w:rsidRPr="00281D63">
              <w:t>the bill's provisions;</w:t>
            </w:r>
            <w:r>
              <w:t xml:space="preserve"> or</w:t>
            </w:r>
          </w:p>
          <w:p w:rsidR="00827D64" w:rsidRDefault="00EF09C9" w:rsidP="00C56A4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required to register as a sex offender. </w:t>
            </w:r>
          </w:p>
          <w:p w:rsidR="00286647" w:rsidRDefault="00EF09C9" w:rsidP="00C56A45">
            <w:pPr>
              <w:pStyle w:val="Header"/>
              <w:jc w:val="both"/>
            </w:pPr>
            <w:r>
              <w:t xml:space="preserve">The bill requires </w:t>
            </w:r>
            <w:r>
              <w:t>an applicable licensing authority to revoke the</w:t>
            </w:r>
            <w:r>
              <w:t xml:space="preserve"> license and update the authority's records to reflect the revocation immediately on receiving notification by a court that the court made an applicable finding</w:t>
            </w:r>
            <w:r>
              <w:t xml:space="preserve"> under the bill's provisions</w:t>
            </w:r>
            <w:r>
              <w:t xml:space="preserve"> or</w:t>
            </w:r>
            <w:r>
              <w:t xml:space="preserve"> </w:t>
            </w:r>
            <w:r>
              <w:t xml:space="preserve">notification </w:t>
            </w:r>
            <w:r>
              <w:t xml:space="preserve">by a parole panel that the license holder is required to register as a sex offender as a condition of release on parole or to mandatory supervision. </w:t>
            </w:r>
          </w:p>
          <w:p w:rsidR="00286647" w:rsidRDefault="00EF09C9" w:rsidP="00C56A45">
            <w:pPr>
              <w:pStyle w:val="Header"/>
              <w:jc w:val="both"/>
            </w:pPr>
          </w:p>
          <w:p w:rsidR="0035728D" w:rsidRDefault="00EF09C9" w:rsidP="00C56A45">
            <w:pPr>
              <w:pStyle w:val="Header"/>
              <w:jc w:val="both"/>
            </w:pPr>
            <w:r>
              <w:t>C.S.</w:t>
            </w:r>
            <w:r>
              <w:t>H.B. 1899</w:t>
            </w:r>
            <w:r>
              <w:t xml:space="preserve"> </w:t>
            </w:r>
            <w:r>
              <w:t>authorizes a</w:t>
            </w:r>
            <w:r w:rsidRPr="0057477E">
              <w:t xml:space="preserve"> person whose license application is denied </w:t>
            </w:r>
            <w:r>
              <w:t>or whose license is r</w:t>
            </w:r>
            <w:r>
              <w:t xml:space="preserve">evoked </w:t>
            </w:r>
            <w:r>
              <w:t xml:space="preserve">based on a conviction or placement on deferred adjudication community supervision </w:t>
            </w:r>
            <w:r w:rsidRPr="000C7D49">
              <w:t xml:space="preserve">for  </w:t>
            </w:r>
            <w:r>
              <w:t>an applicable felony offense or assaultive offense</w:t>
            </w:r>
            <w:r w:rsidRPr="00281D63">
              <w:t xml:space="preserve"> </w:t>
            </w:r>
            <w:r>
              <w:t xml:space="preserve">to </w:t>
            </w:r>
            <w:r w:rsidRPr="0057477E">
              <w:t xml:space="preserve">reapply for the license </w:t>
            </w:r>
            <w:r>
              <w:t>or apply for reinstatement</w:t>
            </w:r>
            <w:r>
              <w:t xml:space="preserve"> of the license</w:t>
            </w:r>
            <w:r>
              <w:t xml:space="preserve">, as applicable, </w:t>
            </w:r>
            <w:r w:rsidRPr="0057477E">
              <w:t>if the conviction</w:t>
            </w:r>
            <w:r>
              <w:t xml:space="preserve"> or</w:t>
            </w:r>
            <w:r w:rsidRPr="0057477E">
              <w:t xml:space="preserve"> deferred adjudication</w:t>
            </w:r>
            <w:r>
              <w:t xml:space="preserve"> </w:t>
            </w:r>
            <w:r w:rsidRPr="0057477E">
              <w:t>is reversed, set</w:t>
            </w:r>
            <w:r>
              <w:t xml:space="preserve"> aside, or vacated on appeal</w:t>
            </w:r>
            <w:r w:rsidRPr="0057477E">
              <w:t>.</w:t>
            </w:r>
            <w:r>
              <w:t xml:space="preserve"> The bill authorizes a person whose license application is denied or whose license is revoked based on a requirement to register as a sex offender to reapply for the license or apply for r</w:t>
            </w:r>
            <w:r>
              <w:t>einstatement</w:t>
            </w:r>
            <w:r>
              <w:t xml:space="preserve"> of the license</w:t>
            </w:r>
            <w:r>
              <w:t>, as applicable, after the expiration of the period for which the person is required to register.</w:t>
            </w:r>
          </w:p>
          <w:p w:rsidR="0017322A" w:rsidRDefault="00EF09C9" w:rsidP="00C56A45">
            <w:pPr>
              <w:pStyle w:val="Header"/>
              <w:jc w:val="both"/>
            </w:pPr>
          </w:p>
          <w:p w:rsidR="0017322A" w:rsidRDefault="00EF09C9" w:rsidP="00C56A45">
            <w:pPr>
              <w:pStyle w:val="Header"/>
              <w:jc w:val="both"/>
            </w:pPr>
            <w:r>
              <w:t xml:space="preserve">C.S.H.B. 1899 amends the Government Code to require a </w:t>
            </w:r>
            <w:r w:rsidRPr="00866113">
              <w:t xml:space="preserve">parole panel that knows an inmate holds or has submitted an application for </w:t>
            </w:r>
            <w:r w:rsidRPr="00866113">
              <w:t>a health care professional</w:t>
            </w:r>
            <w:r>
              <w:t xml:space="preserve"> license</w:t>
            </w:r>
            <w:r w:rsidRPr="00866113">
              <w:t xml:space="preserve"> </w:t>
            </w:r>
            <w:r>
              <w:t xml:space="preserve">to </w:t>
            </w:r>
            <w:r w:rsidRPr="00866113">
              <w:t xml:space="preserve">immediately notify </w:t>
            </w:r>
            <w:r>
              <w:t>the Department of Public Safety</w:t>
            </w:r>
            <w:r>
              <w:t xml:space="preserve"> </w:t>
            </w:r>
            <w:r>
              <w:t xml:space="preserve">(DPS) </w:t>
            </w:r>
            <w:r w:rsidRPr="00866113">
              <w:t>and the applicable</w:t>
            </w:r>
            <w:r>
              <w:t xml:space="preserve"> licensing authority if the </w:t>
            </w:r>
            <w:r w:rsidRPr="00866113">
              <w:t>panel requires the inmate as a condition of release on parole or to mandatory supervision to register as a sex offe</w:t>
            </w:r>
            <w:r w:rsidRPr="00866113">
              <w:t>nder</w:t>
            </w:r>
            <w:r>
              <w:t>.</w:t>
            </w:r>
          </w:p>
          <w:p w:rsidR="0017322A" w:rsidRDefault="00EF09C9" w:rsidP="00C56A45">
            <w:pPr>
              <w:pStyle w:val="Header"/>
              <w:jc w:val="both"/>
            </w:pPr>
          </w:p>
          <w:p w:rsidR="00F36266" w:rsidRDefault="00EF09C9" w:rsidP="00C56A45">
            <w:pPr>
              <w:pStyle w:val="Header"/>
              <w:jc w:val="both"/>
            </w:pPr>
            <w:r>
              <w:t>C.S.H.B. 1899 amends the Code of Criminal Procedure to require a judge</w:t>
            </w:r>
            <w:r>
              <w:t>,</w:t>
            </w:r>
            <w:r>
              <w:t xml:space="preserve"> in the trial of an offense</w:t>
            </w:r>
            <w:r>
              <w:t>,</w:t>
            </w:r>
            <w:r>
              <w:t xml:space="preserve"> to make an affirmative finding of fact and enter the affirmative finding in the judgment in the case if the judge determines that at the time of the </w:t>
            </w:r>
            <w:r>
              <w:t xml:space="preserve">offense the defendant held a </w:t>
            </w:r>
            <w:r>
              <w:t xml:space="preserve">health care professional </w:t>
            </w:r>
            <w:r>
              <w:t>license and the offense is an offense</w:t>
            </w:r>
            <w:r>
              <w:t xml:space="preserve"> that qualifies the defendant for revocation</w:t>
            </w:r>
            <w:r>
              <w:t xml:space="preserve"> </w:t>
            </w:r>
            <w:r>
              <w:t>of such a</w:t>
            </w:r>
            <w:r>
              <w:t xml:space="preserve"> license. The bill requires the clerk of the court in which the conviction or deferred adjudication is entered</w:t>
            </w:r>
            <w:r>
              <w:t xml:space="preserve"> </w:t>
            </w:r>
            <w:r>
              <w:t>to provide</w:t>
            </w:r>
            <w:r>
              <w:t xml:space="preserve"> timely</w:t>
            </w:r>
            <w:r>
              <w:t xml:space="preserve"> written notice of </w:t>
            </w:r>
            <w:r>
              <w:t>that matter</w:t>
            </w:r>
            <w:r>
              <w:t xml:space="preserve"> to the</w:t>
            </w:r>
            <w:r>
              <w:t xml:space="preserve"> applicable</w:t>
            </w:r>
            <w:r>
              <w:t xml:space="preserve"> licensing authority and </w:t>
            </w:r>
            <w:r>
              <w:t xml:space="preserve">to </w:t>
            </w:r>
            <w:r>
              <w:t xml:space="preserve">DPS. The bill </w:t>
            </w:r>
            <w:r>
              <w:t>requires DPS to provide a li</w:t>
            </w:r>
            <w:r>
              <w:t>censing authority with notice of</w:t>
            </w:r>
            <w:r>
              <w:t xml:space="preserve"> any person required to register as a sex offender as the </w:t>
            </w:r>
            <w:r>
              <w:t>applicable licensing informatio</w:t>
            </w:r>
            <w:r>
              <w:t>n become</w:t>
            </w:r>
            <w:r>
              <w:t>s</w:t>
            </w:r>
            <w:r>
              <w:t xml:space="preserve"> available </w:t>
            </w:r>
            <w:r>
              <w:t xml:space="preserve">through </w:t>
            </w:r>
            <w:r>
              <w:t xml:space="preserve">applicable </w:t>
            </w:r>
            <w:r>
              <w:t xml:space="preserve">notification by a county clerk </w:t>
            </w:r>
            <w:r>
              <w:t>or a parole panel</w:t>
            </w:r>
            <w:r>
              <w:t xml:space="preserve">. </w:t>
            </w:r>
          </w:p>
          <w:p w:rsidR="00007DB0" w:rsidRPr="00835628" w:rsidRDefault="00EF09C9" w:rsidP="00C56A45">
            <w:pPr>
              <w:pStyle w:val="Header"/>
              <w:jc w:val="both"/>
              <w:rPr>
                <w:b/>
              </w:rPr>
            </w:pPr>
          </w:p>
        </w:tc>
      </w:tr>
      <w:tr w:rsidR="00D4568E" w:rsidTr="00345119">
        <w:tc>
          <w:tcPr>
            <w:tcW w:w="9576" w:type="dxa"/>
          </w:tcPr>
          <w:p w:rsidR="008423E4" w:rsidRPr="00A8133F" w:rsidRDefault="00EF09C9" w:rsidP="00C56A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09C9" w:rsidP="00C56A45"/>
          <w:p w:rsidR="008423E4" w:rsidRPr="003624F2" w:rsidRDefault="00EF09C9" w:rsidP="00C56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F09C9" w:rsidP="00C56A45">
            <w:pPr>
              <w:rPr>
                <w:b/>
              </w:rPr>
            </w:pPr>
          </w:p>
        </w:tc>
      </w:tr>
      <w:tr w:rsidR="00D4568E" w:rsidTr="00345119">
        <w:tc>
          <w:tcPr>
            <w:tcW w:w="9576" w:type="dxa"/>
          </w:tcPr>
          <w:p w:rsidR="004D6BF9" w:rsidRDefault="00EF09C9" w:rsidP="00C56A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2768" w:rsidRDefault="00EF09C9" w:rsidP="00C56A45">
            <w:pPr>
              <w:jc w:val="both"/>
            </w:pPr>
          </w:p>
          <w:p w:rsidR="00082768" w:rsidRDefault="00EF09C9" w:rsidP="00C56A45">
            <w:pPr>
              <w:jc w:val="both"/>
            </w:pPr>
            <w:r>
              <w:t xml:space="preserve">While C.S.H.B. 1899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7A28A0" w:rsidRDefault="00EF09C9" w:rsidP="00C56A45">
            <w:pPr>
              <w:jc w:val="both"/>
            </w:pPr>
          </w:p>
          <w:p w:rsidR="004B0C37" w:rsidRDefault="00EF09C9" w:rsidP="00C56A45">
            <w:pPr>
              <w:jc w:val="both"/>
            </w:pPr>
            <w:r>
              <w:t>The substitute</w:t>
            </w:r>
            <w:r>
              <w:t xml:space="preserve"> </w:t>
            </w:r>
            <w:r>
              <w:t>does not include</w:t>
            </w:r>
            <w:r>
              <w:t xml:space="preserve"> provisions establishing that a person whose license application is denied or whose license is revoked</w:t>
            </w:r>
            <w:r>
              <w:t>:</w:t>
            </w:r>
          </w:p>
          <w:p w:rsidR="00897BEB" w:rsidRDefault="00EF09C9" w:rsidP="00C56A45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i</w:t>
            </w:r>
            <w:r>
              <w:t>s not entitled to a hearing</w:t>
            </w:r>
            <w:r>
              <w:t xml:space="preserve"> on the denial or revocation</w:t>
            </w:r>
            <w:r>
              <w:t>;</w:t>
            </w:r>
          </w:p>
          <w:p w:rsidR="00897BEB" w:rsidRDefault="00EF09C9" w:rsidP="00C56A45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may not be granted a hearing by the licensing authority;</w:t>
            </w:r>
            <w:r>
              <w:t xml:space="preserve"> </w:t>
            </w:r>
          </w:p>
          <w:p w:rsidR="00897BEB" w:rsidRDefault="00EF09C9" w:rsidP="00C56A45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may not appeal the denial or revocation to the licensing authority; and</w:t>
            </w:r>
          </w:p>
          <w:p w:rsidR="00714CF2" w:rsidRDefault="00EF09C9" w:rsidP="00C56A45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is not entitled to judicial review </w:t>
            </w:r>
            <w:r>
              <w:t xml:space="preserve">of the denial or revocation </w:t>
            </w:r>
            <w:r>
              <w:t>and ma</w:t>
            </w:r>
            <w:r>
              <w:t>y not file an action in a court requesting judicial review.</w:t>
            </w:r>
          </w:p>
          <w:p w:rsidR="00714CF2" w:rsidRDefault="00EF09C9" w:rsidP="00C56A45">
            <w:pPr>
              <w:jc w:val="both"/>
            </w:pPr>
          </w:p>
          <w:p w:rsidR="00082768" w:rsidRPr="00082768" w:rsidRDefault="00EF09C9" w:rsidP="00C56A45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the conditions that trigger the denial or revocation of a license with respect to sex offender registration and </w:t>
            </w:r>
            <w:r>
              <w:t>includes an authorization for a person whose license applica</w:t>
            </w:r>
            <w:r>
              <w:t xml:space="preserve">tion was denied or </w:t>
            </w:r>
            <w:r>
              <w:t xml:space="preserve">whose license was </w:t>
            </w:r>
            <w:r>
              <w:t>revoked based on a requirement to register as a sex offender to reapply for the license or apply for reinstatement of the license, as applicable, after the expiration of the period for which the person is required to re</w:t>
            </w:r>
            <w:r>
              <w:t xml:space="preserve">gister. </w:t>
            </w:r>
          </w:p>
        </w:tc>
      </w:tr>
      <w:tr w:rsidR="00D4568E" w:rsidTr="00345119">
        <w:tc>
          <w:tcPr>
            <w:tcW w:w="9576" w:type="dxa"/>
          </w:tcPr>
          <w:p w:rsidR="004D6BF9" w:rsidRPr="00B53A8E" w:rsidRDefault="00EF09C9" w:rsidP="00C56A45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D4568E" w:rsidTr="00345119">
        <w:tc>
          <w:tcPr>
            <w:tcW w:w="9576" w:type="dxa"/>
          </w:tcPr>
          <w:p w:rsidR="004D6BF9" w:rsidRPr="004D6BF9" w:rsidRDefault="00EF09C9" w:rsidP="00C56A45">
            <w:pPr>
              <w:jc w:val="both"/>
            </w:pPr>
          </w:p>
        </w:tc>
      </w:tr>
    </w:tbl>
    <w:p w:rsidR="008423E4" w:rsidRPr="00B53A8E" w:rsidRDefault="00EF09C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53A8E" w:rsidRDefault="00EF09C9" w:rsidP="008423E4">
      <w:pPr>
        <w:rPr>
          <w:sz w:val="2"/>
          <w:szCs w:val="2"/>
        </w:rPr>
      </w:pPr>
    </w:p>
    <w:sectPr w:rsidR="004108C3" w:rsidRPr="00B53A8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09C9">
      <w:r>
        <w:separator/>
      </w:r>
    </w:p>
  </w:endnote>
  <w:endnote w:type="continuationSeparator" w:id="0">
    <w:p w:rsidR="00000000" w:rsidRDefault="00E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568E" w:rsidTr="009C1E9A">
      <w:trPr>
        <w:cantSplit/>
      </w:trPr>
      <w:tc>
        <w:tcPr>
          <w:tcW w:w="0" w:type="pct"/>
        </w:tcPr>
        <w:p w:rsidR="00137D90" w:rsidRDefault="00EF0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09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09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0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0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568E" w:rsidTr="009C1E9A">
      <w:trPr>
        <w:cantSplit/>
      </w:trPr>
      <w:tc>
        <w:tcPr>
          <w:tcW w:w="0" w:type="pct"/>
        </w:tcPr>
        <w:p w:rsidR="00EC379B" w:rsidRDefault="00EF0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09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27692</w:t>
          </w:r>
        </w:p>
      </w:tc>
      <w:tc>
        <w:tcPr>
          <w:tcW w:w="2453" w:type="pct"/>
        </w:tcPr>
        <w:p w:rsidR="00EC379B" w:rsidRDefault="00EF0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19.106.1019</w:t>
          </w:r>
          <w:r>
            <w:fldChar w:fldCharType="end"/>
          </w:r>
        </w:p>
      </w:tc>
    </w:tr>
    <w:tr w:rsidR="00D4568E" w:rsidTr="009C1E9A">
      <w:trPr>
        <w:cantSplit/>
      </w:trPr>
      <w:tc>
        <w:tcPr>
          <w:tcW w:w="0" w:type="pct"/>
        </w:tcPr>
        <w:p w:rsidR="00EC379B" w:rsidRDefault="00EF09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09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20269</w:t>
          </w:r>
        </w:p>
      </w:tc>
      <w:tc>
        <w:tcPr>
          <w:tcW w:w="2453" w:type="pct"/>
        </w:tcPr>
        <w:p w:rsidR="00EC379B" w:rsidRDefault="00EF09C9" w:rsidP="006D504F">
          <w:pPr>
            <w:pStyle w:val="Footer"/>
            <w:rPr>
              <w:rStyle w:val="PageNumber"/>
            </w:rPr>
          </w:pPr>
        </w:p>
        <w:p w:rsidR="00EC379B" w:rsidRDefault="00EF0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56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09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F09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09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09C9">
      <w:r>
        <w:separator/>
      </w:r>
    </w:p>
  </w:footnote>
  <w:footnote w:type="continuationSeparator" w:id="0">
    <w:p w:rsidR="00000000" w:rsidRDefault="00EF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0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791"/>
    <w:multiLevelType w:val="hybridMultilevel"/>
    <w:tmpl w:val="91CCC330"/>
    <w:lvl w:ilvl="0" w:tplc="23142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CA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40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2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C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4C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80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2E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353"/>
    <w:multiLevelType w:val="hybridMultilevel"/>
    <w:tmpl w:val="2AB8465A"/>
    <w:lvl w:ilvl="0" w:tplc="7D92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1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80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6A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21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67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4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3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8E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2FB3"/>
    <w:multiLevelType w:val="hybridMultilevel"/>
    <w:tmpl w:val="20D28ECC"/>
    <w:lvl w:ilvl="0" w:tplc="8F369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0D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4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C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C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6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A5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C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69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0C5D"/>
    <w:multiLevelType w:val="hybridMultilevel"/>
    <w:tmpl w:val="002A9E22"/>
    <w:lvl w:ilvl="0" w:tplc="FF18D8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2C4469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22AB9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F020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E9EBF9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82402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49044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3AE15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68CA9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50121E"/>
    <w:multiLevelType w:val="hybridMultilevel"/>
    <w:tmpl w:val="919A6CF6"/>
    <w:lvl w:ilvl="0" w:tplc="675A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1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6A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EE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B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0A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0D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0D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04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E"/>
    <w:rsid w:val="00D4568E"/>
    <w:rsid w:val="00E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0C62EB-A089-4BDD-9689-EBB82BF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35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5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50C"/>
    <w:rPr>
      <w:b/>
      <w:bCs/>
    </w:rPr>
  </w:style>
  <w:style w:type="paragraph" w:styleId="ListParagraph">
    <w:name w:val="List Paragraph"/>
    <w:basedOn w:val="Normal"/>
    <w:uiPriority w:val="34"/>
    <w:qFormat/>
    <w:rsid w:val="008C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5115</Characters>
  <Application>Microsoft Office Word</Application>
  <DocSecurity>4</DocSecurity>
  <Lines>111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HB01899 (Committee Report (Substituted))</vt:lpstr>
    </vt:vector>
  </TitlesOfParts>
  <Company>State of Texas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27692</dc:subject>
  <dc:creator>State of Texas</dc:creator>
  <dc:description>HB 1899 by Bonnen, Greg-(H)Public Health (Substitute Document Number: 86R 20269)</dc:description>
  <cp:lastModifiedBy>Stacey Nicchio</cp:lastModifiedBy>
  <cp:revision>2</cp:revision>
  <cp:lastPrinted>2003-11-26T17:21:00Z</cp:lastPrinted>
  <dcterms:created xsi:type="dcterms:W3CDTF">2019-04-18T01:12:00Z</dcterms:created>
  <dcterms:modified xsi:type="dcterms:W3CDTF">2019-04-18T01:12:00Z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19.106.1019</vt:lpwstr>
  </property>
</Properties>
</file>