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14954" w:rsidTr="00345119">
        <w:tc>
          <w:tcPr>
            <w:tcW w:w="9576" w:type="dxa"/>
            <w:noWrap/>
          </w:tcPr>
          <w:p w:rsidR="008423E4" w:rsidRPr="0022177D" w:rsidRDefault="00DB39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3940" w:rsidP="008423E4">
      <w:pPr>
        <w:jc w:val="center"/>
      </w:pPr>
    </w:p>
    <w:p w:rsidR="008423E4" w:rsidRPr="00B31F0E" w:rsidRDefault="00DB3940" w:rsidP="008423E4"/>
    <w:p w:rsidR="008423E4" w:rsidRPr="00742794" w:rsidRDefault="00DB39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4954" w:rsidTr="00345119">
        <w:tc>
          <w:tcPr>
            <w:tcW w:w="9576" w:type="dxa"/>
          </w:tcPr>
          <w:p w:rsidR="008423E4" w:rsidRPr="00861995" w:rsidRDefault="00DB3940" w:rsidP="00345119">
            <w:pPr>
              <w:jc w:val="right"/>
            </w:pPr>
            <w:r>
              <w:t>H.B. 1930</w:t>
            </w:r>
          </w:p>
        </w:tc>
      </w:tr>
      <w:tr w:rsidR="00314954" w:rsidTr="00345119">
        <w:tc>
          <w:tcPr>
            <w:tcW w:w="9576" w:type="dxa"/>
          </w:tcPr>
          <w:p w:rsidR="008423E4" w:rsidRPr="00861995" w:rsidRDefault="00DB3940" w:rsidP="00953796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314954" w:rsidTr="00345119">
        <w:tc>
          <w:tcPr>
            <w:tcW w:w="9576" w:type="dxa"/>
          </w:tcPr>
          <w:p w:rsidR="008423E4" w:rsidRPr="00861995" w:rsidRDefault="00DB3940" w:rsidP="00345119">
            <w:pPr>
              <w:jc w:val="right"/>
            </w:pPr>
            <w:r>
              <w:t>Juvenile Justice &amp; Family Issues</w:t>
            </w:r>
          </w:p>
        </w:tc>
      </w:tr>
      <w:tr w:rsidR="00314954" w:rsidTr="00345119">
        <w:tc>
          <w:tcPr>
            <w:tcW w:w="9576" w:type="dxa"/>
          </w:tcPr>
          <w:p w:rsidR="008423E4" w:rsidRDefault="00DB394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B3940" w:rsidP="008423E4">
      <w:pPr>
        <w:tabs>
          <w:tab w:val="right" w:pos="9360"/>
        </w:tabs>
      </w:pPr>
    </w:p>
    <w:p w:rsidR="008423E4" w:rsidRDefault="00DB3940" w:rsidP="008423E4"/>
    <w:p w:rsidR="008423E4" w:rsidRDefault="00DB39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14954" w:rsidTr="00345119">
        <w:tc>
          <w:tcPr>
            <w:tcW w:w="9576" w:type="dxa"/>
          </w:tcPr>
          <w:p w:rsidR="008423E4" w:rsidRPr="00A8133F" w:rsidRDefault="00DB3940" w:rsidP="001857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3940" w:rsidP="0018574C"/>
          <w:p w:rsidR="008423E4" w:rsidRDefault="00DB3940" w:rsidP="0018574C">
            <w:pPr>
              <w:pStyle w:val="Header"/>
              <w:jc w:val="both"/>
            </w:pPr>
            <w:r>
              <w:t xml:space="preserve">There have been calls for the state to do more to </w:t>
            </w:r>
            <w:r w:rsidRPr="00B00844">
              <w:t xml:space="preserve">educate children previously adjudicated as having engaged in conduct </w:t>
            </w:r>
            <w:r w:rsidRPr="00B00844">
              <w:t>indicating a need for supervision or delinquent conduct</w:t>
            </w:r>
            <w:r>
              <w:t>.</w:t>
            </w:r>
            <w:r w:rsidRPr="00B00844"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1930 </w:t>
            </w:r>
            <w:r>
              <w:t>seeks to provide t</w:t>
            </w:r>
            <w:r w:rsidRPr="00B00844">
              <w:t xml:space="preserve">he Texas Juvenile Justice </w:t>
            </w:r>
            <w:r w:rsidRPr="000B1307">
              <w:t xml:space="preserve">Board </w:t>
            </w:r>
            <w:r>
              <w:t xml:space="preserve">with the </w:t>
            </w:r>
            <w:r>
              <w:t xml:space="preserve">authority to </w:t>
            </w:r>
            <w:r>
              <w:t xml:space="preserve">establish </w:t>
            </w:r>
            <w:r>
              <w:t xml:space="preserve">a </w:t>
            </w:r>
            <w:r>
              <w:t xml:space="preserve">charter </w:t>
            </w:r>
            <w:r>
              <w:t>school to educate such children.</w:t>
            </w:r>
          </w:p>
          <w:p w:rsidR="008423E4" w:rsidRPr="00E26B13" w:rsidRDefault="00DB3940" w:rsidP="0018574C">
            <w:pPr>
              <w:rPr>
                <w:b/>
              </w:rPr>
            </w:pPr>
          </w:p>
        </w:tc>
      </w:tr>
      <w:tr w:rsidR="00314954" w:rsidTr="00345119">
        <w:tc>
          <w:tcPr>
            <w:tcW w:w="9576" w:type="dxa"/>
          </w:tcPr>
          <w:p w:rsidR="0017725B" w:rsidRDefault="00DB3940" w:rsidP="001857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C2174E" w:rsidRDefault="00DB3940" w:rsidP="0018574C">
            <w:pPr>
              <w:rPr>
                <w:b/>
                <w:sz w:val="20"/>
                <w:u w:val="single"/>
              </w:rPr>
            </w:pPr>
          </w:p>
          <w:p w:rsidR="00803B37" w:rsidRPr="00803B37" w:rsidRDefault="00DB3940" w:rsidP="0018574C">
            <w:pPr>
              <w:jc w:val="both"/>
            </w:pPr>
            <w:r>
              <w:t>It is the committee's opinion that th</w:t>
            </w:r>
            <w:r>
              <w:t>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C2174E" w:rsidRDefault="00DB3940" w:rsidP="0018574C">
            <w:pPr>
              <w:rPr>
                <w:b/>
                <w:sz w:val="20"/>
                <w:u w:val="single"/>
              </w:rPr>
            </w:pPr>
          </w:p>
        </w:tc>
      </w:tr>
      <w:tr w:rsidR="00314954" w:rsidTr="00345119">
        <w:tc>
          <w:tcPr>
            <w:tcW w:w="9576" w:type="dxa"/>
          </w:tcPr>
          <w:p w:rsidR="008423E4" w:rsidRPr="00A8133F" w:rsidRDefault="00DB3940" w:rsidP="001857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</w:t>
            </w:r>
            <w:r w:rsidRPr="009C1E9A">
              <w:rPr>
                <w:b/>
                <w:u w:val="single"/>
              </w:rPr>
              <w:t>Y</w:t>
            </w:r>
            <w:r>
              <w:rPr>
                <w:b/>
              </w:rPr>
              <w:t xml:space="preserve"> </w:t>
            </w:r>
          </w:p>
          <w:p w:rsidR="008423E4" w:rsidRPr="00C2174E" w:rsidRDefault="00DB3940" w:rsidP="0018574C">
            <w:pPr>
              <w:rPr>
                <w:sz w:val="20"/>
              </w:rPr>
            </w:pPr>
          </w:p>
          <w:p w:rsidR="00803B37" w:rsidRDefault="00DB3940" w:rsidP="00185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C2174E" w:rsidRDefault="00DB3940" w:rsidP="0018574C">
            <w:pPr>
              <w:rPr>
                <w:b/>
                <w:sz w:val="20"/>
              </w:rPr>
            </w:pPr>
          </w:p>
        </w:tc>
      </w:tr>
      <w:tr w:rsidR="00314954" w:rsidTr="00345119">
        <w:tc>
          <w:tcPr>
            <w:tcW w:w="9576" w:type="dxa"/>
          </w:tcPr>
          <w:p w:rsidR="008423E4" w:rsidRPr="00A8133F" w:rsidRDefault="00DB3940" w:rsidP="001857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C2174E" w:rsidRDefault="00DB3940" w:rsidP="0018574C">
            <w:pPr>
              <w:rPr>
                <w:sz w:val="20"/>
              </w:rPr>
            </w:pPr>
          </w:p>
          <w:p w:rsidR="00D97DD2" w:rsidRDefault="00DB3940" w:rsidP="0018574C">
            <w:pPr>
              <w:pStyle w:val="Header"/>
              <w:jc w:val="both"/>
            </w:pPr>
            <w:r>
              <w:t xml:space="preserve">H.B. 1930 amends the Education Code to authorize the Texas Juvenile Justice Board to establish a </w:t>
            </w:r>
            <w:r w:rsidRPr="009E515F">
              <w:t xml:space="preserve">charter school </w:t>
            </w:r>
            <w:r w:rsidRPr="00721674">
              <w:t xml:space="preserve">in a county with a population of at least 250,000 but not more than 270,000 that is located less than 100 miles from a </w:t>
            </w:r>
            <w:r>
              <w:t>Texas Juvenile Justice De</w:t>
            </w:r>
            <w:r>
              <w:t>partment (TJJD)</w:t>
            </w:r>
            <w:r w:rsidRPr="00721674">
              <w:t xml:space="preserve"> district office</w:t>
            </w:r>
            <w:r>
              <w:t xml:space="preserve"> </w:t>
            </w:r>
            <w:r w:rsidRPr="009E515F">
              <w:t>to educate children previously adjudicated as having engaged in conduct indicating a need for supervision or delinquent conduct</w:t>
            </w:r>
            <w:r>
              <w:t>.</w:t>
            </w:r>
            <w:r>
              <w:t xml:space="preserve"> The bill subjects the school to review under the Texas Sunset Act and requires the school to be</w:t>
            </w:r>
            <w:r>
              <w:t xml:space="preserve"> reviewed during the period in which TJJD is reviewed.</w:t>
            </w:r>
            <w:r>
              <w:t xml:space="preserve"> </w:t>
            </w:r>
            <w:r>
              <w:t xml:space="preserve">The bill establishes the </w:t>
            </w:r>
            <w:r>
              <w:t xml:space="preserve">Texas Juvenile Justice Board as </w:t>
            </w:r>
            <w:r>
              <w:t>the</w:t>
            </w:r>
            <w:r>
              <w:t xml:space="preserve"> school's</w:t>
            </w:r>
            <w:r>
              <w:t xml:space="preserve"> governing body and requires the board to </w:t>
            </w:r>
            <w:r w:rsidRPr="00F95F71">
              <w:t>provide for the operation of the school.</w:t>
            </w:r>
            <w:r>
              <w:t xml:space="preserve"> </w:t>
            </w:r>
            <w:r>
              <w:t>The bill sets out provisions relating to the foll</w:t>
            </w:r>
            <w:r>
              <w:t>owing:</w:t>
            </w:r>
          </w:p>
          <w:p w:rsidR="00D97DD2" w:rsidRDefault="00DB3940" w:rsidP="001857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goals of the school</w:t>
            </w:r>
            <w:r>
              <w:t>;</w:t>
            </w:r>
          </w:p>
          <w:p w:rsidR="00D97DD2" w:rsidRDefault="00DB3940" w:rsidP="001857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applicability of certain other Education Code provisions to the school</w:t>
            </w:r>
            <w:r>
              <w:t>;</w:t>
            </w:r>
          </w:p>
          <w:p w:rsidR="00D97DD2" w:rsidRDefault="00DB3940" w:rsidP="001857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school staff</w:t>
            </w:r>
            <w:r>
              <w:t>ing, including background checks;</w:t>
            </w:r>
          </w:p>
          <w:p w:rsidR="00D97DD2" w:rsidRDefault="00DB3940" w:rsidP="001857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school facilities</w:t>
            </w:r>
            <w:r>
              <w:t>;</w:t>
            </w:r>
          </w:p>
          <w:p w:rsidR="00D97DD2" w:rsidRDefault="00DB3940" w:rsidP="001857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state funding for the school</w:t>
            </w:r>
            <w:r>
              <w:t>;</w:t>
            </w:r>
          </w:p>
          <w:p w:rsidR="00D97DD2" w:rsidRDefault="00DB3940" w:rsidP="001857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authority of the school to accept gifts and grant</w:t>
            </w:r>
            <w:r>
              <w:t>s</w:t>
            </w:r>
            <w:r>
              <w:t>;</w:t>
            </w:r>
            <w:r>
              <w:t xml:space="preserve"> and</w:t>
            </w:r>
          </w:p>
          <w:p w:rsidR="00D97DD2" w:rsidRDefault="00DB3940" w:rsidP="0018574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authority of </w:t>
            </w:r>
            <w:r>
              <w:t>TJJD</w:t>
            </w:r>
            <w:r>
              <w:t xml:space="preserve"> to coordinate with a public or private entity to establish the school or provide school programs or services.</w:t>
            </w:r>
          </w:p>
          <w:p w:rsidR="00EA21A0" w:rsidRPr="00C2174E" w:rsidRDefault="00DB3940" w:rsidP="0018574C">
            <w:pPr>
              <w:pStyle w:val="Header"/>
              <w:jc w:val="both"/>
              <w:rPr>
                <w:sz w:val="20"/>
              </w:rPr>
            </w:pPr>
          </w:p>
          <w:p w:rsidR="00D97DD2" w:rsidRDefault="00DB3940" w:rsidP="0018574C">
            <w:pPr>
              <w:pStyle w:val="Header"/>
              <w:jc w:val="both"/>
            </w:pPr>
            <w:r>
              <w:t>H.B. 1930</w:t>
            </w:r>
            <w:r>
              <w:t xml:space="preserve"> requires the charter school to</w:t>
            </w:r>
            <w:r>
              <w:t>:</w:t>
            </w:r>
            <w:r>
              <w:t xml:space="preserve"> </w:t>
            </w:r>
          </w:p>
          <w:p w:rsidR="00D97DD2" w:rsidRDefault="00DB3940" w:rsidP="0018574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develop an academic achievement plan for each student that is designed to</w:t>
            </w:r>
            <w:r>
              <w:t xml:space="preserve"> produce high academic achievement and prepare the student for postsecondary education or a military career; </w:t>
            </w:r>
          </w:p>
          <w:p w:rsidR="00D97DD2" w:rsidRDefault="00DB3940" w:rsidP="0018574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develop and implement a comprehensive, evidence-based, individualized therapeutic counseling plan for each student to facilitate academic achievem</w:t>
            </w:r>
            <w:r>
              <w:t xml:space="preserve">ent, mitigate delinquent behavior, and encourage the involvement of the student's parent or guardian; and </w:t>
            </w:r>
          </w:p>
          <w:p w:rsidR="00D97DD2" w:rsidRDefault="00DB3940" w:rsidP="0018574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provide vocational training programs that enable students to obtain workforce credentials.</w:t>
            </w:r>
            <w:r>
              <w:t xml:space="preserve"> </w:t>
            </w:r>
          </w:p>
          <w:p w:rsidR="000C7525" w:rsidRDefault="00DB3940" w:rsidP="0018574C">
            <w:pPr>
              <w:pStyle w:val="Header"/>
              <w:jc w:val="both"/>
            </w:pPr>
            <w:r>
              <w:t xml:space="preserve">  </w:t>
            </w:r>
          </w:p>
          <w:p w:rsidR="000C7525" w:rsidRDefault="00DB3940" w:rsidP="0018574C">
            <w:pPr>
              <w:pStyle w:val="Header"/>
              <w:jc w:val="both"/>
            </w:pPr>
            <w:r>
              <w:t xml:space="preserve">H.B. 1930 amends the Government Code to </w:t>
            </w:r>
            <w:r>
              <w:t>establish a</w:t>
            </w:r>
            <w:r>
              <w:t xml:space="preserve"> person employed by a charter school established under the bill </w:t>
            </w:r>
            <w:r>
              <w:t xml:space="preserve">as </w:t>
            </w:r>
            <w:r>
              <w:t xml:space="preserve">a state employee for purposes of payment for vacation and sick leave to state employees who separate </w:t>
            </w:r>
            <w:r>
              <w:t xml:space="preserve">from state employment </w:t>
            </w:r>
            <w:r>
              <w:t>or to the estate of a deceased state employee</w:t>
            </w:r>
            <w:r>
              <w:t>.</w:t>
            </w:r>
          </w:p>
          <w:p w:rsidR="000C7525" w:rsidRDefault="00DB3940" w:rsidP="0018574C">
            <w:pPr>
              <w:pStyle w:val="Header"/>
              <w:jc w:val="both"/>
            </w:pPr>
          </w:p>
          <w:p w:rsidR="000C7525" w:rsidRDefault="00DB3940" w:rsidP="0018574C">
            <w:pPr>
              <w:pStyle w:val="Header"/>
              <w:jc w:val="both"/>
            </w:pPr>
            <w:r>
              <w:t>H.B. 1930 amends t</w:t>
            </w:r>
            <w:r>
              <w:t xml:space="preserve">he Insurance Code to </w:t>
            </w:r>
            <w:r>
              <w:t>require the executive head of a charter school established under the bill to determine whether an educational professional employee of the school is a full-time employee for purposes of the Texas Employees Group Benefits Act</w:t>
            </w:r>
            <w:r>
              <w:t xml:space="preserve">. </w:t>
            </w:r>
            <w:r>
              <w:t xml:space="preserve">  </w:t>
            </w:r>
          </w:p>
          <w:p w:rsidR="008423E4" w:rsidRPr="00835628" w:rsidRDefault="00DB3940" w:rsidP="0018574C">
            <w:pPr>
              <w:rPr>
                <w:b/>
              </w:rPr>
            </w:pPr>
          </w:p>
        </w:tc>
      </w:tr>
      <w:tr w:rsidR="00314954" w:rsidTr="00345119">
        <w:tc>
          <w:tcPr>
            <w:tcW w:w="9576" w:type="dxa"/>
          </w:tcPr>
          <w:p w:rsidR="008423E4" w:rsidRPr="00A8133F" w:rsidRDefault="00DB3940" w:rsidP="001857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</w:t>
            </w:r>
            <w:r w:rsidRPr="009C1E9A">
              <w:rPr>
                <w:b/>
                <w:u w:val="single"/>
              </w:rPr>
              <w:t>CTIVE DATE</w:t>
            </w:r>
            <w:r>
              <w:rPr>
                <w:b/>
              </w:rPr>
              <w:t xml:space="preserve"> </w:t>
            </w:r>
          </w:p>
          <w:p w:rsidR="008423E4" w:rsidRDefault="00DB3940" w:rsidP="0018574C"/>
          <w:p w:rsidR="008423E4" w:rsidRPr="003624F2" w:rsidRDefault="00DB3940" w:rsidP="001857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03B37">
              <w:t>September 1, 2019.</w:t>
            </w:r>
          </w:p>
          <w:p w:rsidR="008423E4" w:rsidRPr="00233FDB" w:rsidRDefault="00DB3940" w:rsidP="0018574C">
            <w:pPr>
              <w:rPr>
                <w:b/>
              </w:rPr>
            </w:pPr>
          </w:p>
        </w:tc>
      </w:tr>
    </w:tbl>
    <w:p w:rsidR="008423E4" w:rsidRPr="00BE0E75" w:rsidRDefault="00DB39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394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3940">
      <w:r>
        <w:separator/>
      </w:r>
    </w:p>
  </w:endnote>
  <w:endnote w:type="continuationSeparator" w:id="0">
    <w:p w:rsidR="00000000" w:rsidRDefault="00DB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4954" w:rsidTr="009C1E9A">
      <w:trPr>
        <w:cantSplit/>
      </w:trPr>
      <w:tc>
        <w:tcPr>
          <w:tcW w:w="0" w:type="pct"/>
        </w:tcPr>
        <w:p w:rsidR="00137D90" w:rsidRDefault="00DB39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39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39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39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39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954" w:rsidTr="009C1E9A">
      <w:trPr>
        <w:cantSplit/>
      </w:trPr>
      <w:tc>
        <w:tcPr>
          <w:tcW w:w="0" w:type="pct"/>
        </w:tcPr>
        <w:p w:rsidR="00EC379B" w:rsidRDefault="00DB39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39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20277</w:t>
          </w:r>
        </w:p>
      </w:tc>
      <w:tc>
        <w:tcPr>
          <w:tcW w:w="2453" w:type="pct"/>
        </w:tcPr>
        <w:p w:rsidR="00EC379B" w:rsidRDefault="00DB39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19.76.76</w:t>
          </w:r>
          <w:r>
            <w:fldChar w:fldCharType="end"/>
          </w:r>
        </w:p>
      </w:tc>
    </w:tr>
    <w:tr w:rsidR="00314954" w:rsidTr="009C1E9A">
      <w:trPr>
        <w:cantSplit/>
      </w:trPr>
      <w:tc>
        <w:tcPr>
          <w:tcW w:w="0" w:type="pct"/>
        </w:tcPr>
        <w:p w:rsidR="00EC379B" w:rsidRDefault="00DB39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39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3940" w:rsidP="006D504F">
          <w:pPr>
            <w:pStyle w:val="Footer"/>
            <w:rPr>
              <w:rStyle w:val="PageNumber"/>
            </w:rPr>
          </w:pPr>
        </w:p>
        <w:p w:rsidR="00EC379B" w:rsidRDefault="00DB39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9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39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B39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39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3940">
      <w:r>
        <w:separator/>
      </w:r>
    </w:p>
  </w:footnote>
  <w:footnote w:type="continuationSeparator" w:id="0">
    <w:p w:rsidR="00000000" w:rsidRDefault="00DB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5C03"/>
    <w:multiLevelType w:val="hybridMultilevel"/>
    <w:tmpl w:val="5A7A4DD2"/>
    <w:lvl w:ilvl="0" w:tplc="3E3A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A7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A3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03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EA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6F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C4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0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4D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31D0"/>
    <w:multiLevelType w:val="hybridMultilevel"/>
    <w:tmpl w:val="5362470E"/>
    <w:lvl w:ilvl="0" w:tplc="4532E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2E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62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04B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82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8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CC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E1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54"/>
    <w:rsid w:val="00314954"/>
    <w:rsid w:val="00D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D2E15-8738-43B1-A250-9986FAD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6D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6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6D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6D23"/>
    <w:rPr>
      <w:b/>
      <w:bCs/>
    </w:rPr>
  </w:style>
  <w:style w:type="paragraph" w:styleId="Revision">
    <w:name w:val="Revision"/>
    <w:hidden/>
    <w:uiPriority w:val="99"/>
    <w:semiHidden/>
    <w:rsid w:val="00BA6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2746</Characters>
  <Application>Microsoft Office Word</Application>
  <DocSecurity>4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HB01930 (Committee Report (Unamended))</vt:lpstr>
    </vt:vector>
  </TitlesOfParts>
  <Company>State of Texas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20277</dc:subject>
  <dc:creator>State of Texas</dc:creator>
  <dc:description>HB 1930 by White-(H)Juvenile Justice &amp; Family Issues</dc:description>
  <cp:lastModifiedBy>Laura Ramsay</cp:lastModifiedBy>
  <cp:revision>2</cp:revision>
  <cp:lastPrinted>2003-11-26T17:21:00Z</cp:lastPrinted>
  <dcterms:created xsi:type="dcterms:W3CDTF">2019-04-05T22:33:00Z</dcterms:created>
  <dcterms:modified xsi:type="dcterms:W3CDTF">2019-04-05T22:33:00Z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19.76.76</vt:lpwstr>
  </property>
</Properties>
</file>