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712EC" w:rsidTr="00345119">
        <w:tc>
          <w:tcPr>
            <w:tcW w:w="9576" w:type="dxa"/>
            <w:noWrap/>
          </w:tcPr>
          <w:p w:rsidR="008423E4" w:rsidRPr="0022177D" w:rsidRDefault="00B73F1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73F1E" w:rsidP="008423E4">
      <w:pPr>
        <w:jc w:val="center"/>
      </w:pPr>
    </w:p>
    <w:p w:rsidR="008423E4" w:rsidRPr="00B31F0E" w:rsidRDefault="00B73F1E" w:rsidP="008423E4"/>
    <w:p w:rsidR="008423E4" w:rsidRPr="00742794" w:rsidRDefault="00B73F1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12EC" w:rsidTr="00345119">
        <w:tc>
          <w:tcPr>
            <w:tcW w:w="9576" w:type="dxa"/>
          </w:tcPr>
          <w:p w:rsidR="008423E4" w:rsidRPr="00861995" w:rsidRDefault="00B73F1E" w:rsidP="00345119">
            <w:pPr>
              <w:jc w:val="right"/>
            </w:pPr>
            <w:r>
              <w:t>H.B. 1931</w:t>
            </w:r>
          </w:p>
        </w:tc>
      </w:tr>
      <w:tr w:rsidR="006712EC" w:rsidTr="00345119">
        <w:tc>
          <w:tcPr>
            <w:tcW w:w="9576" w:type="dxa"/>
          </w:tcPr>
          <w:p w:rsidR="008423E4" w:rsidRPr="00861995" w:rsidRDefault="00B73F1E" w:rsidP="00FE3CB5">
            <w:pPr>
              <w:jc w:val="right"/>
            </w:pPr>
            <w:r>
              <w:t xml:space="preserve">By: </w:t>
            </w:r>
            <w:r>
              <w:t>Kacal</w:t>
            </w:r>
          </w:p>
        </w:tc>
      </w:tr>
      <w:tr w:rsidR="006712EC" w:rsidTr="00345119">
        <w:tc>
          <w:tcPr>
            <w:tcW w:w="9576" w:type="dxa"/>
          </w:tcPr>
          <w:p w:rsidR="008423E4" w:rsidRPr="00861995" w:rsidRDefault="00B73F1E" w:rsidP="00345119">
            <w:pPr>
              <w:jc w:val="right"/>
            </w:pPr>
            <w:r>
              <w:t>Judiciary &amp; Civil Jurisprudence</w:t>
            </w:r>
          </w:p>
        </w:tc>
      </w:tr>
      <w:tr w:rsidR="006712EC" w:rsidTr="00345119">
        <w:tc>
          <w:tcPr>
            <w:tcW w:w="9576" w:type="dxa"/>
          </w:tcPr>
          <w:p w:rsidR="008423E4" w:rsidRDefault="00B73F1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73F1E" w:rsidP="008423E4">
      <w:pPr>
        <w:tabs>
          <w:tab w:val="right" w:pos="9360"/>
        </w:tabs>
      </w:pPr>
    </w:p>
    <w:p w:rsidR="008423E4" w:rsidRDefault="00B73F1E" w:rsidP="008423E4"/>
    <w:p w:rsidR="008423E4" w:rsidRDefault="00B73F1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712EC" w:rsidTr="00345119">
        <w:tc>
          <w:tcPr>
            <w:tcW w:w="9576" w:type="dxa"/>
          </w:tcPr>
          <w:p w:rsidR="008423E4" w:rsidRPr="00A8133F" w:rsidRDefault="00B73F1E" w:rsidP="009069B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73F1E" w:rsidP="009069BD"/>
          <w:p w:rsidR="008423E4" w:rsidRDefault="00B73F1E" w:rsidP="009069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 the wake of Hurricane Harvey, </w:t>
            </w:r>
            <w:r>
              <w:t>there have been calls</w:t>
            </w:r>
            <w:r>
              <w:t xml:space="preserve"> to provide </w:t>
            </w:r>
            <w:r>
              <w:t xml:space="preserve">veterinarians, licensed veterinary technicians, and certified veterinary assistants who volunteer during natural </w:t>
            </w:r>
            <w:r>
              <w:t>or</w:t>
            </w:r>
            <w:r>
              <w:t xml:space="preserve"> man</w:t>
            </w:r>
            <w:r>
              <w:noBreakHyphen/>
            </w:r>
            <w:r>
              <w:t xml:space="preserve">made disasters </w:t>
            </w:r>
            <w:r>
              <w:t>with additional protections from frivolous lawsuits.</w:t>
            </w:r>
            <w:r>
              <w:t xml:space="preserve"> </w:t>
            </w:r>
            <w:r>
              <w:t xml:space="preserve">H.B. 1931 seeks to address </w:t>
            </w:r>
            <w:r>
              <w:t>these calls</w:t>
            </w:r>
            <w:r>
              <w:t xml:space="preserve"> by providing immunity from ci</w:t>
            </w:r>
            <w:r>
              <w:t xml:space="preserve">vil liability to </w:t>
            </w:r>
            <w:r>
              <w:t>such professionals</w:t>
            </w:r>
            <w:r>
              <w:t xml:space="preserve"> under </w:t>
            </w:r>
            <w:r>
              <w:t>certain</w:t>
            </w:r>
            <w:r>
              <w:t xml:space="preserve"> </w:t>
            </w:r>
            <w:r>
              <w:t>circumstances.</w:t>
            </w:r>
          </w:p>
          <w:p w:rsidR="008423E4" w:rsidRPr="00E26B13" w:rsidRDefault="00B73F1E" w:rsidP="009069BD">
            <w:pPr>
              <w:rPr>
                <w:b/>
              </w:rPr>
            </w:pPr>
          </w:p>
        </w:tc>
      </w:tr>
      <w:tr w:rsidR="006712EC" w:rsidTr="00345119">
        <w:tc>
          <w:tcPr>
            <w:tcW w:w="9576" w:type="dxa"/>
          </w:tcPr>
          <w:p w:rsidR="0017725B" w:rsidRDefault="00B73F1E" w:rsidP="00906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73F1E" w:rsidP="009069BD">
            <w:pPr>
              <w:rPr>
                <w:b/>
                <w:u w:val="single"/>
              </w:rPr>
            </w:pPr>
          </w:p>
          <w:p w:rsidR="005E1D59" w:rsidRPr="005E1D59" w:rsidRDefault="00B73F1E" w:rsidP="009069B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</w:t>
            </w:r>
            <w:r>
              <w:t>ffenses, or change the eligibility of a person for community supervision, parole, or mandatory supervision.</w:t>
            </w:r>
          </w:p>
          <w:p w:rsidR="0017725B" w:rsidRPr="0017725B" w:rsidRDefault="00B73F1E" w:rsidP="009069BD">
            <w:pPr>
              <w:rPr>
                <w:b/>
                <w:u w:val="single"/>
              </w:rPr>
            </w:pPr>
          </w:p>
        </w:tc>
      </w:tr>
      <w:tr w:rsidR="006712EC" w:rsidTr="00345119">
        <w:tc>
          <w:tcPr>
            <w:tcW w:w="9576" w:type="dxa"/>
          </w:tcPr>
          <w:p w:rsidR="008423E4" w:rsidRPr="00A8133F" w:rsidRDefault="00B73F1E" w:rsidP="009069B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73F1E" w:rsidP="009069BD"/>
          <w:p w:rsidR="005E1D59" w:rsidRDefault="00B73F1E" w:rsidP="009069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</w:t>
            </w:r>
            <w:r>
              <w:t>r, department, agency, or institution.</w:t>
            </w:r>
          </w:p>
          <w:p w:rsidR="008423E4" w:rsidRPr="00E21FDC" w:rsidRDefault="00B73F1E" w:rsidP="009069BD">
            <w:pPr>
              <w:rPr>
                <w:b/>
              </w:rPr>
            </w:pPr>
          </w:p>
        </w:tc>
      </w:tr>
      <w:tr w:rsidR="006712EC" w:rsidTr="00345119">
        <w:tc>
          <w:tcPr>
            <w:tcW w:w="9576" w:type="dxa"/>
          </w:tcPr>
          <w:p w:rsidR="008423E4" w:rsidRPr="00A8133F" w:rsidRDefault="00B73F1E" w:rsidP="009069B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73F1E" w:rsidP="009069BD"/>
          <w:p w:rsidR="00F44C85" w:rsidRDefault="00B73F1E" w:rsidP="009069BD">
            <w:pPr>
              <w:pStyle w:val="Header"/>
              <w:jc w:val="both"/>
            </w:pPr>
            <w:r>
              <w:t xml:space="preserve">H.B. 1931 amends the Civil Practice and Remedies Code to grant immunity from civil liability to a certified veterinary assistant, licensed veterinary technician, or </w:t>
            </w:r>
            <w:r>
              <w:t xml:space="preserve">licensed </w:t>
            </w:r>
            <w:r>
              <w:t xml:space="preserve">veterinarian who in good faith and as a volunteer provides medical assistance to an injured animal for an act or omission that occurs in </w:t>
            </w:r>
            <w:r>
              <w:t xml:space="preserve">providing the assistance if it </w:t>
            </w:r>
            <w:r>
              <w:t>is provided:</w:t>
            </w:r>
          </w:p>
          <w:p w:rsidR="00F44C85" w:rsidRDefault="00B73F1E" w:rsidP="009069B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in response to a man-made or natural disaster that injures, endangers, or t</w:t>
            </w:r>
            <w:r>
              <w:t>hreatens to endanger the animal</w:t>
            </w:r>
            <w:r>
              <w:t xml:space="preserve">; </w:t>
            </w:r>
          </w:p>
          <w:p w:rsidR="00F44C85" w:rsidRDefault="00B73F1E" w:rsidP="009069B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at the request of the owner of the animal or an authorized representative of a local, state, or federal agency</w:t>
            </w:r>
            <w:r>
              <w:t xml:space="preserve">; </w:t>
            </w:r>
            <w:r>
              <w:t xml:space="preserve">and </w:t>
            </w:r>
          </w:p>
          <w:p w:rsidR="00F44C85" w:rsidRDefault="00B73F1E" w:rsidP="009069B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within the scope of practice authorized and level of supervision required under Occupations Code provisio</w:t>
            </w:r>
            <w:r>
              <w:t>ns relating to veterinarians.</w:t>
            </w:r>
            <w:r>
              <w:t xml:space="preserve"> </w:t>
            </w:r>
          </w:p>
          <w:p w:rsidR="00D62EC6" w:rsidRDefault="00B73F1E" w:rsidP="009069BD">
            <w:pPr>
              <w:pStyle w:val="Header"/>
              <w:jc w:val="both"/>
            </w:pPr>
          </w:p>
          <w:p w:rsidR="008423E4" w:rsidRDefault="00B73F1E" w:rsidP="009069BD">
            <w:pPr>
              <w:pStyle w:val="Header"/>
              <w:jc w:val="both"/>
            </w:pPr>
            <w:r>
              <w:t>H.B. 1931</w:t>
            </w:r>
            <w:r>
              <w:t xml:space="preserve"> expressly do</w:t>
            </w:r>
            <w:r>
              <w:t>es</w:t>
            </w:r>
            <w:r>
              <w:t xml:space="preserve"> not apply </w:t>
            </w:r>
            <w:r>
              <w:t xml:space="preserve">to </w:t>
            </w:r>
            <w:r w:rsidRPr="005525D9">
              <w:t>an act or omission that is grossly negligent or intentional misconduct</w:t>
            </w:r>
            <w:r>
              <w:t xml:space="preserve"> or to a </w:t>
            </w:r>
            <w:r w:rsidRPr="005525D9">
              <w:t xml:space="preserve">certified veterinary assistant, licensed veterinary technician, or </w:t>
            </w:r>
            <w:r>
              <w:t xml:space="preserve">licensed </w:t>
            </w:r>
            <w:r w:rsidRPr="005525D9">
              <w:t>veterinarian giving medical ass</w:t>
            </w:r>
            <w:r w:rsidRPr="005525D9">
              <w:t>istance for or in expectation of compensation from or on behalf of the owner of the animal in excess of reimbursement for expenses incurred</w:t>
            </w:r>
            <w:r w:rsidRPr="005525D9">
              <w:t>.</w:t>
            </w:r>
            <w:r>
              <w:t xml:space="preserve">                    </w:t>
            </w:r>
          </w:p>
          <w:p w:rsidR="008423E4" w:rsidRPr="00835628" w:rsidRDefault="00B73F1E" w:rsidP="009069BD">
            <w:pPr>
              <w:rPr>
                <w:b/>
              </w:rPr>
            </w:pPr>
          </w:p>
        </w:tc>
      </w:tr>
      <w:tr w:rsidR="006712EC" w:rsidTr="00345119">
        <w:tc>
          <w:tcPr>
            <w:tcW w:w="9576" w:type="dxa"/>
          </w:tcPr>
          <w:p w:rsidR="008423E4" w:rsidRPr="00A8133F" w:rsidRDefault="00B73F1E" w:rsidP="009069B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73F1E" w:rsidP="009069BD"/>
          <w:p w:rsidR="008423E4" w:rsidRPr="003624F2" w:rsidRDefault="00B73F1E" w:rsidP="009069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73F1E" w:rsidP="009069BD">
            <w:pPr>
              <w:rPr>
                <w:b/>
              </w:rPr>
            </w:pPr>
          </w:p>
        </w:tc>
      </w:tr>
    </w:tbl>
    <w:p w:rsidR="008423E4" w:rsidRPr="00BE0E75" w:rsidRDefault="00B73F1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73F1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3F1E">
      <w:r>
        <w:separator/>
      </w:r>
    </w:p>
  </w:endnote>
  <w:endnote w:type="continuationSeparator" w:id="0">
    <w:p w:rsidR="00000000" w:rsidRDefault="00B7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3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12EC" w:rsidTr="009C1E9A">
      <w:trPr>
        <w:cantSplit/>
      </w:trPr>
      <w:tc>
        <w:tcPr>
          <w:tcW w:w="0" w:type="pct"/>
        </w:tcPr>
        <w:p w:rsidR="00137D90" w:rsidRDefault="00B73F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73F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73F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73F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73F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12EC" w:rsidTr="009C1E9A">
      <w:trPr>
        <w:cantSplit/>
      </w:trPr>
      <w:tc>
        <w:tcPr>
          <w:tcW w:w="0" w:type="pct"/>
        </w:tcPr>
        <w:p w:rsidR="00EC379B" w:rsidRDefault="00B73F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73F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26522</w:t>
          </w:r>
        </w:p>
      </w:tc>
      <w:tc>
        <w:tcPr>
          <w:tcW w:w="2453" w:type="pct"/>
        </w:tcPr>
        <w:p w:rsidR="00EC379B" w:rsidRDefault="00B73F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19.103.441</w:t>
          </w:r>
          <w:r>
            <w:fldChar w:fldCharType="end"/>
          </w:r>
        </w:p>
      </w:tc>
    </w:tr>
    <w:tr w:rsidR="006712EC" w:rsidTr="009C1E9A">
      <w:trPr>
        <w:cantSplit/>
      </w:trPr>
      <w:tc>
        <w:tcPr>
          <w:tcW w:w="0" w:type="pct"/>
        </w:tcPr>
        <w:p w:rsidR="00EC379B" w:rsidRDefault="00B73F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73F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73F1E" w:rsidP="006D504F">
          <w:pPr>
            <w:pStyle w:val="Footer"/>
            <w:rPr>
              <w:rStyle w:val="PageNumber"/>
            </w:rPr>
          </w:pPr>
        </w:p>
        <w:p w:rsidR="00EC379B" w:rsidRDefault="00B73F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12E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73F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73F1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73F1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3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3F1E">
      <w:r>
        <w:separator/>
      </w:r>
    </w:p>
  </w:footnote>
  <w:footnote w:type="continuationSeparator" w:id="0">
    <w:p w:rsidR="00000000" w:rsidRDefault="00B73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3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3F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3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045BE"/>
    <w:multiLevelType w:val="hybridMultilevel"/>
    <w:tmpl w:val="949EE73A"/>
    <w:lvl w:ilvl="0" w:tplc="5E58F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8D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28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CE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C4F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2D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6EE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AC58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EC"/>
    <w:rsid w:val="006712EC"/>
    <w:rsid w:val="00B7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29B250-D881-4DD0-B084-FCCCB955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525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25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25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5D9"/>
    <w:rPr>
      <w:b/>
      <w:bCs/>
    </w:rPr>
  </w:style>
  <w:style w:type="paragraph" w:styleId="Revision">
    <w:name w:val="Revision"/>
    <w:hidden/>
    <w:uiPriority w:val="99"/>
    <w:semiHidden/>
    <w:rsid w:val="005525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1797</Characters>
  <Application>Microsoft Office Word</Application>
  <DocSecurity>4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HB01931 (Committee Report (Unamended))</vt:lpstr>
    </vt:vector>
  </TitlesOfParts>
  <Company>State of Texas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26522</dc:subject>
  <dc:creator>State of Texas</dc:creator>
  <dc:description>HB 1931 by Kacal-(H)Judiciary &amp; Civil Jurisprudence</dc:description>
  <cp:lastModifiedBy>Stacey Nicchio</cp:lastModifiedBy>
  <cp:revision>2</cp:revision>
  <cp:lastPrinted>2003-11-26T17:21:00Z</cp:lastPrinted>
  <dcterms:created xsi:type="dcterms:W3CDTF">2019-04-26T23:06:00Z</dcterms:created>
  <dcterms:modified xsi:type="dcterms:W3CDTF">2019-04-26T23:06:00Z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19.103.441</vt:lpwstr>
  </property>
</Properties>
</file>