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08EC" w:rsidTr="00345119">
        <w:tc>
          <w:tcPr>
            <w:tcW w:w="9576" w:type="dxa"/>
            <w:noWrap/>
          </w:tcPr>
          <w:p w:rsidR="008423E4" w:rsidRPr="0022177D" w:rsidRDefault="00324E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4E18" w:rsidP="008423E4">
      <w:pPr>
        <w:jc w:val="center"/>
      </w:pPr>
    </w:p>
    <w:p w:rsidR="008423E4" w:rsidRPr="00B31F0E" w:rsidRDefault="00324E18" w:rsidP="008423E4"/>
    <w:p w:rsidR="008423E4" w:rsidRPr="00742794" w:rsidRDefault="00324E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08EC" w:rsidTr="00345119">
        <w:tc>
          <w:tcPr>
            <w:tcW w:w="9576" w:type="dxa"/>
          </w:tcPr>
          <w:p w:rsidR="008423E4" w:rsidRPr="00861995" w:rsidRDefault="00324E18" w:rsidP="00345119">
            <w:pPr>
              <w:jc w:val="right"/>
            </w:pPr>
            <w:r>
              <w:t>C.S.H.B. 1949</w:t>
            </w:r>
          </w:p>
        </w:tc>
      </w:tr>
      <w:tr w:rsidR="00D208EC" w:rsidTr="00345119">
        <w:tc>
          <w:tcPr>
            <w:tcW w:w="9576" w:type="dxa"/>
          </w:tcPr>
          <w:p w:rsidR="008423E4" w:rsidRPr="00861995" w:rsidRDefault="00324E18" w:rsidP="00411906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D208EC" w:rsidTr="00345119">
        <w:tc>
          <w:tcPr>
            <w:tcW w:w="9576" w:type="dxa"/>
          </w:tcPr>
          <w:p w:rsidR="008423E4" w:rsidRPr="00861995" w:rsidRDefault="00324E18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D208EC" w:rsidTr="00345119">
        <w:tc>
          <w:tcPr>
            <w:tcW w:w="9576" w:type="dxa"/>
          </w:tcPr>
          <w:p w:rsidR="008423E4" w:rsidRDefault="00324E1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4E18" w:rsidP="008423E4">
      <w:pPr>
        <w:tabs>
          <w:tab w:val="right" w:pos="9360"/>
        </w:tabs>
      </w:pPr>
    </w:p>
    <w:p w:rsidR="008423E4" w:rsidRDefault="00324E18" w:rsidP="008423E4"/>
    <w:p w:rsidR="008423E4" w:rsidRDefault="00324E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08EC" w:rsidTr="00345119">
        <w:tc>
          <w:tcPr>
            <w:tcW w:w="9576" w:type="dxa"/>
          </w:tcPr>
          <w:p w:rsidR="008423E4" w:rsidRPr="00A8133F" w:rsidRDefault="00324E18" w:rsidP="00E47C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4E18" w:rsidP="00E47CE8"/>
          <w:p w:rsidR="008423E4" w:rsidRDefault="00324E18" w:rsidP="00E47C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performance criteria</w:t>
            </w:r>
            <w:r>
              <w:t xml:space="preserve"> </w:t>
            </w:r>
            <w:r>
              <w:t xml:space="preserve">for </w:t>
            </w:r>
            <w:r>
              <w:t>purposes of awarding</w:t>
            </w:r>
            <w:r>
              <w:t xml:space="preserve"> incentive fund</w:t>
            </w:r>
            <w:r>
              <w:t>s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entities that deliver adult education and literacy services </w:t>
            </w:r>
            <w:r>
              <w:t xml:space="preserve">may lack clarity. </w:t>
            </w:r>
            <w:r>
              <w:t>C.S.</w:t>
            </w:r>
            <w:r>
              <w:t>H.B. 1949 seeks to</w:t>
            </w:r>
            <w:r>
              <w:t xml:space="preserve"> remedy this issue and increase the effectiveness of the funding by establishing specific performance </w:t>
            </w:r>
            <w:r>
              <w:t>benchmarks</w:t>
            </w:r>
            <w:r>
              <w:t xml:space="preserve"> for these entities</w:t>
            </w:r>
            <w:r>
              <w:t>.</w:t>
            </w:r>
          </w:p>
          <w:p w:rsidR="008423E4" w:rsidRPr="00E26B13" w:rsidRDefault="00324E18" w:rsidP="00E47CE8">
            <w:pPr>
              <w:rPr>
                <w:b/>
              </w:rPr>
            </w:pPr>
          </w:p>
        </w:tc>
      </w:tr>
      <w:tr w:rsidR="00D208EC" w:rsidTr="00345119">
        <w:tc>
          <w:tcPr>
            <w:tcW w:w="9576" w:type="dxa"/>
          </w:tcPr>
          <w:p w:rsidR="0017725B" w:rsidRDefault="00324E18" w:rsidP="00E47C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324E18" w:rsidP="00E47CE8">
            <w:pPr>
              <w:rPr>
                <w:b/>
                <w:u w:val="single"/>
              </w:rPr>
            </w:pPr>
          </w:p>
          <w:p w:rsidR="008D6F76" w:rsidRPr="008D6F76" w:rsidRDefault="00324E18" w:rsidP="00E47CE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324E18" w:rsidP="00E47CE8">
            <w:pPr>
              <w:rPr>
                <w:b/>
                <w:u w:val="single"/>
              </w:rPr>
            </w:pPr>
          </w:p>
        </w:tc>
      </w:tr>
      <w:tr w:rsidR="00D208EC" w:rsidTr="00345119">
        <w:tc>
          <w:tcPr>
            <w:tcW w:w="9576" w:type="dxa"/>
          </w:tcPr>
          <w:p w:rsidR="008423E4" w:rsidRPr="00A8133F" w:rsidRDefault="00324E18" w:rsidP="00E47C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4E18" w:rsidP="00E47CE8"/>
          <w:p w:rsidR="008D6F76" w:rsidRDefault="00324E18" w:rsidP="00E47C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24E18" w:rsidP="00E47CE8">
            <w:pPr>
              <w:rPr>
                <w:b/>
              </w:rPr>
            </w:pPr>
          </w:p>
        </w:tc>
      </w:tr>
      <w:tr w:rsidR="00D208EC" w:rsidTr="00345119">
        <w:tc>
          <w:tcPr>
            <w:tcW w:w="9576" w:type="dxa"/>
          </w:tcPr>
          <w:p w:rsidR="008423E4" w:rsidRPr="00A8133F" w:rsidRDefault="00324E18" w:rsidP="00E47CE8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4E18" w:rsidP="00E47CE8">
            <w:pPr>
              <w:contextualSpacing/>
            </w:pPr>
          </w:p>
          <w:p w:rsidR="00C6550E" w:rsidRDefault="00324E18" w:rsidP="00E47CE8">
            <w:pPr>
              <w:pStyle w:val="Header"/>
              <w:contextualSpacing/>
              <w:jc w:val="both"/>
            </w:pPr>
            <w:r w:rsidRPr="00596BCD">
              <w:t>C.S.</w:t>
            </w:r>
            <w:r>
              <w:t xml:space="preserve">H.B. 1949 amends the Labor Code to require the criteria prescribed by the </w:t>
            </w:r>
            <w:r>
              <w:t>Texas Workforce Commission</w:t>
            </w:r>
            <w:r>
              <w:t xml:space="preserve"> </w:t>
            </w:r>
            <w:r>
              <w:t xml:space="preserve">for the award of incentive funds to </w:t>
            </w:r>
            <w:r>
              <w:t xml:space="preserve">an entity </w:t>
            </w:r>
            <w:r>
              <w:t xml:space="preserve">delivering adult education and literacy services </w:t>
            </w:r>
            <w:r>
              <w:t>based on performance during a program year</w:t>
            </w:r>
            <w:r w:rsidRPr="00DC68E4">
              <w:t xml:space="preserve"> </w:t>
            </w:r>
            <w:r>
              <w:t>to</w:t>
            </w:r>
            <w:r w:rsidRPr="00DC68E4">
              <w:t xml:space="preserve"> </w:t>
            </w:r>
            <w:r w:rsidRPr="00DC68E4">
              <w:t>include the ac</w:t>
            </w:r>
            <w:r w:rsidRPr="00DC68E4">
              <w:t xml:space="preserve">hievement by </w:t>
            </w:r>
            <w:r>
              <w:t>the</w:t>
            </w:r>
            <w:r w:rsidRPr="00DC68E4">
              <w:t xml:space="preserve"> </w:t>
            </w:r>
            <w:r w:rsidRPr="00DC68E4">
              <w:t xml:space="preserve">entity of </w:t>
            </w:r>
            <w:r>
              <w:t>the following benchmarks:</w:t>
            </w:r>
          </w:p>
          <w:p w:rsidR="00C6550E" w:rsidRDefault="00324E18" w:rsidP="00E47CE8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>
              <w:t>the enrollment in a high school equivalency program or a postsecondary ability to benefit program of at least 25 percent of all students receiving services from the entity during th</w:t>
            </w:r>
            <w:r>
              <w:t>e</w:t>
            </w:r>
            <w:r>
              <w:t xml:space="preserve"> program year</w:t>
            </w:r>
            <w:r>
              <w:t>;</w:t>
            </w:r>
            <w:r>
              <w:t xml:space="preserve"> and</w:t>
            </w:r>
            <w:r>
              <w:t xml:space="preserve"> </w:t>
            </w:r>
            <w:r>
              <w:t xml:space="preserve"> </w:t>
            </w:r>
          </w:p>
          <w:p w:rsidR="008F71A3" w:rsidRDefault="00324E18" w:rsidP="00E47CE8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>
              <w:t xml:space="preserve">the achievement </w:t>
            </w:r>
            <w:r w:rsidRPr="00E90598">
              <w:t>by the end of th</w:t>
            </w:r>
            <w:r>
              <w:t>e</w:t>
            </w:r>
            <w:r w:rsidRPr="00E90598">
              <w:t xml:space="preserve"> program year</w:t>
            </w:r>
            <w:r>
              <w:t xml:space="preserve"> </w:t>
            </w:r>
            <w:r>
              <w:t>of a high school equivalency certificate or a postsecondary certificate by at least 70 percent of those</w:t>
            </w:r>
            <w:r>
              <w:t xml:space="preserve"> </w:t>
            </w:r>
            <w:r>
              <w:t xml:space="preserve">students </w:t>
            </w:r>
            <w:r>
              <w:t xml:space="preserve">who exit the </w:t>
            </w:r>
            <w:r>
              <w:t xml:space="preserve">entity's </w:t>
            </w:r>
            <w:r>
              <w:t xml:space="preserve">program during that </w:t>
            </w:r>
            <w:r>
              <w:t xml:space="preserve">program year </w:t>
            </w:r>
            <w:r>
              <w:t xml:space="preserve">and </w:t>
            </w:r>
            <w:r>
              <w:t xml:space="preserve">who are </w:t>
            </w:r>
            <w:r>
              <w:t>enrolled</w:t>
            </w:r>
            <w:r>
              <w:t xml:space="preserve"> </w:t>
            </w:r>
            <w:r>
              <w:t xml:space="preserve">in a </w:t>
            </w:r>
            <w:r w:rsidRPr="00132153">
              <w:t>high school equ</w:t>
            </w:r>
            <w:r w:rsidRPr="00132153">
              <w:t>ivalency program or a postsecondary ability to benefit program</w:t>
            </w:r>
            <w:r>
              <w:t>.</w:t>
            </w:r>
            <w:r>
              <w:t xml:space="preserve"> </w:t>
            </w:r>
          </w:p>
          <w:p w:rsidR="00D505D3" w:rsidRDefault="00324E18" w:rsidP="00E47CE8">
            <w:pPr>
              <w:pStyle w:val="Header"/>
              <w:contextualSpacing/>
              <w:jc w:val="both"/>
            </w:pPr>
          </w:p>
          <w:p w:rsidR="008423E4" w:rsidRDefault="00324E18" w:rsidP="00E47CE8">
            <w:pPr>
              <w:pStyle w:val="Header"/>
              <w:contextualSpacing/>
              <w:jc w:val="both"/>
            </w:pPr>
            <w:r>
              <w:t>C.S.H.B. 1949</w:t>
            </w:r>
            <w:r>
              <w:t xml:space="preserve"> defines </w:t>
            </w:r>
            <w:r w:rsidRPr="008D6F76">
              <w:t>"postsecondary ability to benefit program"</w:t>
            </w:r>
            <w:r>
              <w:t xml:space="preserve"> as</w:t>
            </w:r>
            <w:r w:rsidRPr="008D6F76">
              <w:t xml:space="preserve"> a postsecondary certificate program in which a person who does not have a high school diploma or equivalency certificate and who both qualifies for federal student finan</w:t>
            </w:r>
            <w:r>
              <w:t xml:space="preserve">cial aid and demonstrates on a test </w:t>
            </w:r>
            <w:r w:rsidRPr="008D6F76">
              <w:t>that the person can pass college-level courses wit</w:t>
            </w:r>
            <w:r w:rsidRPr="008D6F76">
              <w:t>h some support may enroll.</w:t>
            </w:r>
          </w:p>
          <w:p w:rsidR="008F71A3" w:rsidRPr="00835628" w:rsidRDefault="00324E18" w:rsidP="00E47CE8">
            <w:pPr>
              <w:pStyle w:val="Header"/>
              <w:contextualSpacing/>
              <w:jc w:val="both"/>
              <w:rPr>
                <w:b/>
              </w:rPr>
            </w:pPr>
          </w:p>
        </w:tc>
      </w:tr>
      <w:tr w:rsidR="00D208EC" w:rsidTr="00345119">
        <w:tc>
          <w:tcPr>
            <w:tcW w:w="9576" w:type="dxa"/>
          </w:tcPr>
          <w:p w:rsidR="008423E4" w:rsidRPr="00A8133F" w:rsidRDefault="00324E18" w:rsidP="00E47C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4E18" w:rsidP="00E47CE8"/>
          <w:p w:rsidR="008423E4" w:rsidRPr="003624F2" w:rsidRDefault="00324E18" w:rsidP="00E47C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24E18" w:rsidP="00E47CE8">
            <w:pPr>
              <w:rPr>
                <w:b/>
              </w:rPr>
            </w:pPr>
          </w:p>
        </w:tc>
      </w:tr>
      <w:tr w:rsidR="00D208EC" w:rsidTr="00345119">
        <w:tc>
          <w:tcPr>
            <w:tcW w:w="9576" w:type="dxa"/>
          </w:tcPr>
          <w:p w:rsidR="00411906" w:rsidRDefault="00324E18" w:rsidP="00E47CE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96BCD" w:rsidRDefault="00324E18" w:rsidP="00E47CE8">
            <w:pPr>
              <w:jc w:val="both"/>
            </w:pPr>
          </w:p>
          <w:p w:rsidR="00596BCD" w:rsidRDefault="00324E18" w:rsidP="00E47CE8">
            <w:pPr>
              <w:jc w:val="both"/>
            </w:pPr>
            <w:r>
              <w:t>While C.S.H.B. 1949 may differ from the original in minor or nonsubstantive ways, the following summarizes the substantial differences between the introduced and committee substitute versions of the bill.</w:t>
            </w:r>
          </w:p>
          <w:p w:rsidR="00596BCD" w:rsidRDefault="00324E18" w:rsidP="00E47CE8">
            <w:pPr>
              <w:jc w:val="both"/>
            </w:pPr>
          </w:p>
          <w:p w:rsidR="00596BCD" w:rsidRDefault="00324E18" w:rsidP="00E47CE8">
            <w:pPr>
              <w:jc w:val="both"/>
            </w:pPr>
            <w:r>
              <w:t xml:space="preserve">The substitute changes </w:t>
            </w:r>
            <w:r>
              <w:t>the basis for the performan</w:t>
            </w:r>
            <w:r>
              <w:t>ce benchmark</w:t>
            </w:r>
            <w:r>
              <w:t xml:space="preserve"> </w:t>
            </w:r>
            <w:r>
              <w:t xml:space="preserve">relating to achievement of certain certificates </w:t>
            </w:r>
            <w:r>
              <w:t>from a certain percentage of students receiving adult education and literacy services at the beginning of the program year to that percentage of students who exit the adult education program duri</w:t>
            </w:r>
            <w:r>
              <w:t xml:space="preserve">ng the program year. </w:t>
            </w:r>
          </w:p>
          <w:p w:rsidR="00596BCD" w:rsidRPr="00596BCD" w:rsidRDefault="00324E18" w:rsidP="00E47CE8">
            <w:pPr>
              <w:jc w:val="both"/>
            </w:pPr>
          </w:p>
        </w:tc>
      </w:tr>
      <w:tr w:rsidR="00D208EC" w:rsidTr="00345119">
        <w:tc>
          <w:tcPr>
            <w:tcW w:w="9576" w:type="dxa"/>
          </w:tcPr>
          <w:p w:rsidR="00411906" w:rsidRPr="009C1E9A" w:rsidRDefault="00324E18" w:rsidP="00E47CE8">
            <w:pPr>
              <w:rPr>
                <w:b/>
                <w:u w:val="single"/>
              </w:rPr>
            </w:pPr>
          </w:p>
        </w:tc>
      </w:tr>
      <w:tr w:rsidR="00D208EC" w:rsidTr="00345119">
        <w:tc>
          <w:tcPr>
            <w:tcW w:w="9576" w:type="dxa"/>
          </w:tcPr>
          <w:p w:rsidR="00411906" w:rsidRPr="00411906" w:rsidRDefault="00324E18" w:rsidP="00E47CE8">
            <w:pPr>
              <w:jc w:val="both"/>
            </w:pPr>
          </w:p>
        </w:tc>
      </w:tr>
    </w:tbl>
    <w:p w:rsidR="008423E4" w:rsidRPr="00BE0E75" w:rsidRDefault="00324E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4E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4E18">
      <w:r>
        <w:separator/>
      </w:r>
    </w:p>
  </w:endnote>
  <w:endnote w:type="continuationSeparator" w:id="0">
    <w:p w:rsidR="00000000" w:rsidRDefault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08EC" w:rsidTr="009C1E9A">
      <w:trPr>
        <w:cantSplit/>
      </w:trPr>
      <w:tc>
        <w:tcPr>
          <w:tcW w:w="0" w:type="pct"/>
        </w:tcPr>
        <w:p w:rsidR="00137D90" w:rsidRDefault="00324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4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4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4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4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08EC" w:rsidTr="009C1E9A">
      <w:trPr>
        <w:cantSplit/>
      </w:trPr>
      <w:tc>
        <w:tcPr>
          <w:tcW w:w="0" w:type="pct"/>
        </w:tcPr>
        <w:p w:rsidR="00EC379B" w:rsidRDefault="00324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4E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24290</w:t>
          </w:r>
        </w:p>
      </w:tc>
      <w:tc>
        <w:tcPr>
          <w:tcW w:w="2453" w:type="pct"/>
        </w:tcPr>
        <w:p w:rsidR="00EC379B" w:rsidRDefault="00324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19.94.31</w:t>
          </w:r>
          <w:r>
            <w:fldChar w:fldCharType="end"/>
          </w:r>
        </w:p>
      </w:tc>
    </w:tr>
    <w:tr w:rsidR="00D208EC" w:rsidTr="009C1E9A">
      <w:trPr>
        <w:cantSplit/>
      </w:trPr>
      <w:tc>
        <w:tcPr>
          <w:tcW w:w="0" w:type="pct"/>
        </w:tcPr>
        <w:p w:rsidR="00EC379B" w:rsidRDefault="00324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4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14517</w:t>
          </w:r>
        </w:p>
      </w:tc>
      <w:tc>
        <w:tcPr>
          <w:tcW w:w="2453" w:type="pct"/>
        </w:tcPr>
        <w:p w:rsidR="00EC379B" w:rsidRDefault="00324E18" w:rsidP="006D504F">
          <w:pPr>
            <w:pStyle w:val="Footer"/>
            <w:rPr>
              <w:rStyle w:val="PageNumber"/>
            </w:rPr>
          </w:pPr>
        </w:p>
        <w:p w:rsidR="00EC379B" w:rsidRDefault="00324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08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4E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24E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4E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4E18">
      <w:r>
        <w:separator/>
      </w:r>
    </w:p>
  </w:footnote>
  <w:footnote w:type="continuationSeparator" w:id="0">
    <w:p w:rsidR="00000000" w:rsidRDefault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4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DBB"/>
    <w:multiLevelType w:val="hybridMultilevel"/>
    <w:tmpl w:val="9C2E0F82"/>
    <w:lvl w:ilvl="0" w:tplc="1488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F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4B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6F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A7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87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CA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4B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EC"/>
    <w:rsid w:val="00324E18"/>
    <w:rsid w:val="00D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F555C-CD35-4DBB-A3FB-4D56D67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6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F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6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2332</Characters>
  <Application>Microsoft Office Word</Application>
  <DocSecurity>4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HB01949 (Committee Report (Substituted))</vt:lpstr>
    </vt:vector>
  </TitlesOfParts>
  <Company>State of Texas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24290</dc:subject>
  <dc:creator>State of Texas</dc:creator>
  <dc:description>HB 1949 by Guillen-(H)International Relations &amp; Economic Development (Substitute Document Number: 86R 14517)</dc:description>
  <cp:lastModifiedBy>Damian Duarte</cp:lastModifiedBy>
  <cp:revision>2</cp:revision>
  <cp:lastPrinted>2003-11-26T17:21:00Z</cp:lastPrinted>
  <dcterms:created xsi:type="dcterms:W3CDTF">2019-04-12T23:20:00Z</dcterms:created>
  <dcterms:modified xsi:type="dcterms:W3CDTF">2019-04-12T23:20:00Z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19.94.31</vt:lpwstr>
  </property>
</Properties>
</file>