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4134C" w:rsidTr="00345119">
        <w:tc>
          <w:tcPr>
            <w:tcW w:w="9576" w:type="dxa"/>
            <w:noWrap/>
          </w:tcPr>
          <w:p w:rsidR="008423E4" w:rsidRPr="0022177D" w:rsidRDefault="003A2C2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A2C2B" w:rsidP="008423E4">
      <w:pPr>
        <w:jc w:val="center"/>
      </w:pPr>
    </w:p>
    <w:p w:rsidR="008423E4" w:rsidRPr="00B31F0E" w:rsidRDefault="003A2C2B" w:rsidP="008423E4"/>
    <w:p w:rsidR="008423E4" w:rsidRPr="00742794" w:rsidRDefault="003A2C2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4134C" w:rsidTr="00345119">
        <w:tc>
          <w:tcPr>
            <w:tcW w:w="9576" w:type="dxa"/>
          </w:tcPr>
          <w:p w:rsidR="008423E4" w:rsidRPr="00861995" w:rsidRDefault="003A2C2B" w:rsidP="00345119">
            <w:pPr>
              <w:jc w:val="right"/>
            </w:pPr>
            <w:r>
              <w:t>C.S.H.B. 1953</w:t>
            </w:r>
          </w:p>
        </w:tc>
      </w:tr>
      <w:tr w:rsidR="00D4134C" w:rsidTr="00345119">
        <w:tc>
          <w:tcPr>
            <w:tcW w:w="9576" w:type="dxa"/>
          </w:tcPr>
          <w:p w:rsidR="008423E4" w:rsidRPr="00861995" w:rsidRDefault="003A2C2B" w:rsidP="00806391">
            <w:pPr>
              <w:jc w:val="right"/>
            </w:pPr>
            <w:r>
              <w:t xml:space="preserve">By: </w:t>
            </w:r>
            <w:r>
              <w:t>Thompson, Ed</w:t>
            </w:r>
          </w:p>
        </w:tc>
      </w:tr>
      <w:tr w:rsidR="00D4134C" w:rsidTr="00345119">
        <w:tc>
          <w:tcPr>
            <w:tcW w:w="9576" w:type="dxa"/>
          </w:tcPr>
          <w:p w:rsidR="008423E4" w:rsidRPr="00861995" w:rsidRDefault="003A2C2B" w:rsidP="00345119">
            <w:pPr>
              <w:jc w:val="right"/>
            </w:pPr>
            <w:r>
              <w:t>Environmental Regulation</w:t>
            </w:r>
          </w:p>
        </w:tc>
      </w:tr>
      <w:tr w:rsidR="00D4134C" w:rsidTr="00345119">
        <w:tc>
          <w:tcPr>
            <w:tcW w:w="9576" w:type="dxa"/>
          </w:tcPr>
          <w:p w:rsidR="008423E4" w:rsidRDefault="003A2C2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A2C2B" w:rsidP="008423E4">
      <w:pPr>
        <w:tabs>
          <w:tab w:val="right" w:pos="9360"/>
        </w:tabs>
      </w:pPr>
    </w:p>
    <w:p w:rsidR="008423E4" w:rsidRDefault="003A2C2B" w:rsidP="008423E4"/>
    <w:p w:rsidR="008423E4" w:rsidRDefault="003A2C2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4134C" w:rsidTr="00345119">
        <w:tc>
          <w:tcPr>
            <w:tcW w:w="9576" w:type="dxa"/>
          </w:tcPr>
          <w:p w:rsidR="008423E4" w:rsidRPr="00A8133F" w:rsidRDefault="003A2C2B" w:rsidP="00BB299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A2C2B" w:rsidP="00BB2992"/>
          <w:p w:rsidR="008423E4" w:rsidRDefault="003A2C2B" w:rsidP="00BB29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state sustainability initiatives should be </w:t>
            </w:r>
            <w:r>
              <w:t xml:space="preserve">more </w:t>
            </w:r>
            <w:r>
              <w:t xml:space="preserve">ambitious and that plastics-to-fuel legislation will help promote sustainability and help create a circular economy for non-recycled plastics by transforming these materials into valuable feedstocks </w:t>
            </w:r>
            <w:r>
              <w:t>and</w:t>
            </w:r>
            <w:r>
              <w:t xml:space="preserve"> fuel. </w:t>
            </w:r>
            <w:r>
              <w:t>C.S.</w:t>
            </w:r>
            <w:r>
              <w:t xml:space="preserve">H.B. 1953 seeks to address this issue by </w:t>
            </w:r>
            <w:r>
              <w:t>en</w:t>
            </w:r>
            <w:r>
              <w:t xml:space="preserve">couraging the </w:t>
            </w:r>
            <w:r w:rsidRPr="00D6647C">
              <w:t>beneficial conversion of plastics and other recoverable materials</w:t>
            </w:r>
            <w:r>
              <w:t xml:space="preserve"> into useful products through </w:t>
            </w:r>
            <w:r w:rsidRPr="00D6647C">
              <w:t xml:space="preserve">pyrolysis </w:t>
            </w:r>
            <w:r>
              <w:t>or</w:t>
            </w:r>
            <w:r w:rsidRPr="00D6647C">
              <w:t xml:space="preserve"> gasification</w:t>
            </w:r>
            <w:r>
              <w:t>.</w:t>
            </w:r>
          </w:p>
          <w:p w:rsidR="008423E4" w:rsidRPr="00E26B13" w:rsidRDefault="003A2C2B" w:rsidP="00BB2992">
            <w:pPr>
              <w:rPr>
                <w:b/>
              </w:rPr>
            </w:pPr>
          </w:p>
        </w:tc>
      </w:tr>
      <w:tr w:rsidR="00D4134C" w:rsidTr="00345119">
        <w:tc>
          <w:tcPr>
            <w:tcW w:w="9576" w:type="dxa"/>
          </w:tcPr>
          <w:p w:rsidR="0017725B" w:rsidRDefault="003A2C2B" w:rsidP="00BB29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A2C2B" w:rsidP="00BB2992">
            <w:pPr>
              <w:rPr>
                <w:b/>
                <w:u w:val="single"/>
              </w:rPr>
            </w:pPr>
          </w:p>
          <w:p w:rsidR="009A7431" w:rsidRPr="009A7431" w:rsidRDefault="003A2C2B" w:rsidP="00BB2992">
            <w:pPr>
              <w:jc w:val="both"/>
            </w:pPr>
            <w:r>
              <w:t>It is the committee's opinion that this bill does not expressly create a criminal offense, in</w:t>
            </w:r>
            <w:r>
              <w:t>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A2C2B" w:rsidP="00BB2992">
            <w:pPr>
              <w:rPr>
                <w:b/>
                <w:u w:val="single"/>
              </w:rPr>
            </w:pPr>
          </w:p>
        </w:tc>
      </w:tr>
      <w:tr w:rsidR="00D4134C" w:rsidTr="00345119">
        <w:tc>
          <w:tcPr>
            <w:tcW w:w="9576" w:type="dxa"/>
          </w:tcPr>
          <w:p w:rsidR="008423E4" w:rsidRPr="00A8133F" w:rsidRDefault="003A2C2B" w:rsidP="00BB299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A2C2B" w:rsidP="00BB2992"/>
          <w:p w:rsidR="009A7431" w:rsidRDefault="003A2C2B" w:rsidP="00BB29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</w:t>
            </w:r>
            <w:r>
              <w:t xml:space="preserve">ity is expressly granted to the </w:t>
            </w:r>
            <w:r w:rsidRPr="005E5617">
              <w:t>Texas Commission on Environmental Quality</w:t>
            </w:r>
            <w:r>
              <w:t xml:space="preserve"> in </w:t>
            </w:r>
            <w:r w:rsidRPr="005E5617">
              <w:t>SECTION 5</w:t>
            </w:r>
            <w:r>
              <w:t xml:space="preserve"> of this bill.</w:t>
            </w:r>
          </w:p>
          <w:p w:rsidR="008423E4" w:rsidRPr="00E21FDC" w:rsidRDefault="003A2C2B" w:rsidP="00BB2992">
            <w:pPr>
              <w:rPr>
                <w:b/>
              </w:rPr>
            </w:pPr>
          </w:p>
        </w:tc>
      </w:tr>
      <w:tr w:rsidR="00D4134C" w:rsidTr="00345119">
        <w:tc>
          <w:tcPr>
            <w:tcW w:w="9576" w:type="dxa"/>
          </w:tcPr>
          <w:p w:rsidR="0069160C" w:rsidRDefault="003A2C2B" w:rsidP="00BB2992">
            <w:pPr>
              <w:pStyle w:val="Header"/>
              <w:jc w:val="both"/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BB2992" w:rsidRPr="00BB2992" w:rsidRDefault="003A2C2B" w:rsidP="00BB2992">
            <w:pPr>
              <w:pStyle w:val="Header"/>
              <w:jc w:val="both"/>
              <w:rPr>
                <w:b/>
              </w:rPr>
            </w:pPr>
          </w:p>
          <w:p w:rsidR="008E3B93" w:rsidRDefault="003A2C2B" w:rsidP="00BB2992">
            <w:pPr>
              <w:pStyle w:val="Header"/>
              <w:jc w:val="both"/>
            </w:pPr>
            <w:r>
              <w:t>C.S.</w:t>
            </w:r>
            <w:r>
              <w:t>H.B. 1953</w:t>
            </w:r>
            <w:r>
              <w:t xml:space="preserve"> amends the Health and Safety Code to</w:t>
            </w:r>
            <w:r>
              <w:t xml:space="preserve"> prohibit the Texas</w:t>
            </w:r>
            <w:r>
              <w:t xml:space="preserve"> Commission on Environmental Quality (TCEQ) from considering post-use polymers </w:t>
            </w:r>
            <w:r>
              <w:t>or</w:t>
            </w:r>
            <w:r>
              <w:t xml:space="preserve"> recoverable feedstock </w:t>
            </w:r>
            <w:r>
              <w:t>to be</w:t>
            </w:r>
            <w:r>
              <w:t xml:space="preserve"> solid waste if they are converted using pyrolysis or gasification into</w:t>
            </w:r>
            <w:r>
              <w:t xml:space="preserve"> </w:t>
            </w:r>
            <w:r>
              <w:t xml:space="preserve">a </w:t>
            </w:r>
            <w:r>
              <w:t>valuable raw, intermediate</w:t>
            </w:r>
            <w:r>
              <w:t>, or</w:t>
            </w:r>
            <w:r>
              <w:t xml:space="preserve"> final product</w:t>
            </w:r>
            <w:r>
              <w:t>.</w:t>
            </w:r>
            <w:r>
              <w:t xml:space="preserve"> The bill subjects the recyc</w:t>
            </w:r>
            <w:r>
              <w:t>ling and reuse of post-use polymers and recoverable feedstocks classified as hazardous waste under federal law to the federal hazardous waste recycling requirements.</w:t>
            </w:r>
            <w:r>
              <w:t xml:space="preserve"> The bill exempts a facility that reuses or converts recyclable materials</w:t>
            </w:r>
            <w:r>
              <w:t xml:space="preserve"> through</w:t>
            </w:r>
            <w:r>
              <w:t xml:space="preserve"> pyrolysis</w:t>
            </w:r>
            <w:r>
              <w:t xml:space="preserve"> or gasification</w:t>
            </w:r>
            <w:r>
              <w:t>,</w:t>
            </w:r>
            <w:r>
              <w:t xml:space="preserve"> and the operations conducted and materials handled at the facility, from regulation under rules adopted under Solid Waste Disposal Act</w:t>
            </w:r>
            <w:r>
              <w:t xml:space="preserve"> provisions relating to the </w:t>
            </w:r>
            <w:r w:rsidRPr="008621BD">
              <w:t>regulation of certain facilities as solid waste facilities</w:t>
            </w:r>
            <w:r>
              <w:t xml:space="preserve"> </w:t>
            </w:r>
            <w:r>
              <w:t>if the owner or o</w:t>
            </w:r>
            <w:r>
              <w:t>perator of the facility demonstrates that the facility</w:t>
            </w:r>
            <w:r>
              <w:t>'s</w:t>
            </w:r>
            <w:r>
              <w:t xml:space="preserve"> </w:t>
            </w:r>
            <w:r>
              <w:t xml:space="preserve">primary function </w:t>
            </w:r>
            <w:r>
              <w:t>is to convert materials that have a resale value greater than the cost of converting the materials for subsequent beneficial use and</w:t>
            </w:r>
            <w:r>
              <w:t xml:space="preserve"> that</w:t>
            </w:r>
            <w:r>
              <w:t xml:space="preserve"> all the solid waste generated from convertin</w:t>
            </w:r>
            <w:r>
              <w:t xml:space="preserve">g the materials is disposed of in a </w:t>
            </w:r>
            <w:r>
              <w:t>hazardous solid waste management facility</w:t>
            </w:r>
            <w:r>
              <w:t xml:space="preserve"> or a</w:t>
            </w:r>
            <w:r>
              <w:t xml:space="preserve"> </w:t>
            </w:r>
            <w:r>
              <w:t xml:space="preserve">solid waste facility authorized under the </w:t>
            </w:r>
            <w:r>
              <w:t>a</w:t>
            </w:r>
            <w:r>
              <w:t>ct,</w:t>
            </w:r>
            <w:r>
              <w:t xml:space="preserve"> as appropriate,</w:t>
            </w:r>
            <w:r>
              <w:t xml:space="preserve"> with the exception of small amounts of solid waste that may be inadvertently and unintentionally disposed of i</w:t>
            </w:r>
            <w:r>
              <w:t>n another manner</w:t>
            </w:r>
            <w:r w:rsidRPr="00D970F0">
              <w:t xml:space="preserve">. </w:t>
            </w:r>
          </w:p>
          <w:p w:rsidR="00CA628E" w:rsidRDefault="003A2C2B" w:rsidP="00BB2992">
            <w:pPr>
              <w:pStyle w:val="Header"/>
              <w:jc w:val="both"/>
            </w:pPr>
          </w:p>
          <w:p w:rsidR="00CA628E" w:rsidRDefault="003A2C2B" w:rsidP="00BB2992">
            <w:pPr>
              <w:pStyle w:val="Header"/>
              <w:jc w:val="both"/>
            </w:pPr>
            <w:r>
              <w:t>C.S.H.B. 1953</w:t>
            </w:r>
            <w:r>
              <w:t xml:space="preserve"> defines</w:t>
            </w:r>
            <w:r>
              <w:t>, for purposes of the</w:t>
            </w:r>
            <w:r w:rsidRPr="00CA628E">
              <w:t xml:space="preserve"> Solid Waste Disposal Act</w:t>
            </w:r>
            <w:r>
              <w:t>, "gasification," "gasification facility,"</w:t>
            </w:r>
            <w:r>
              <w:t xml:space="preserve"> "post-use polymers," "pyrolysis," "pyrolysis facility</w:t>
            </w:r>
            <w:r>
              <w:t>,</w:t>
            </w:r>
            <w:r>
              <w:t xml:space="preserve">" and </w:t>
            </w:r>
            <w:r>
              <w:t>"recoverable feedstock"</w:t>
            </w:r>
            <w:r>
              <w:t xml:space="preserve"> </w:t>
            </w:r>
            <w:r>
              <w:t xml:space="preserve">and </w:t>
            </w:r>
            <w:r>
              <w:t>amends</w:t>
            </w:r>
            <w:r>
              <w:t xml:space="preserve"> definition</w:t>
            </w:r>
            <w:r>
              <w:t>s</w:t>
            </w:r>
            <w:r>
              <w:t xml:space="preserve"> of</w:t>
            </w:r>
            <w:r>
              <w:t xml:space="preserve"> "processing</w:t>
            </w:r>
            <w:r>
              <w:t>,</w:t>
            </w:r>
            <w:r>
              <w:t xml:space="preserve">" </w:t>
            </w:r>
            <w:r>
              <w:t>"solid waste</w:t>
            </w:r>
            <w:r>
              <w:t>,</w:t>
            </w:r>
            <w:r>
              <w:t>"</w:t>
            </w:r>
            <w:r>
              <w:t xml:space="preserve"> and "solid waste facility."</w:t>
            </w:r>
            <w:r>
              <w:t xml:space="preserve"> The bill </w:t>
            </w:r>
            <w:r>
              <w:t>amends</w:t>
            </w:r>
            <w:r>
              <w:t xml:space="preserve"> the definition</w:t>
            </w:r>
            <w:r>
              <w:t>s</w:t>
            </w:r>
            <w:r>
              <w:t xml:space="preserve"> of "recyclable material</w:t>
            </w:r>
            <w:r>
              <w:t>,</w:t>
            </w:r>
            <w:r>
              <w:t xml:space="preserve">" </w:t>
            </w:r>
            <w:r>
              <w:t>"recycled material," and "recycling"</w:t>
            </w:r>
            <w:r>
              <w:t xml:space="preserve"> for purposes of provisions relating to waste reduction programs and disposal fees</w:t>
            </w:r>
            <w:r>
              <w:t>.</w:t>
            </w:r>
          </w:p>
          <w:p w:rsidR="005E5617" w:rsidRDefault="003A2C2B" w:rsidP="00BB2992">
            <w:pPr>
              <w:pStyle w:val="Header"/>
              <w:jc w:val="both"/>
            </w:pPr>
          </w:p>
          <w:p w:rsidR="005E5617" w:rsidRDefault="003A2C2B" w:rsidP="00BB2992">
            <w:pPr>
              <w:pStyle w:val="Header"/>
              <w:jc w:val="both"/>
            </w:pPr>
            <w:r>
              <w:t>C.S.H.B. 1953</w:t>
            </w:r>
            <w:r w:rsidRPr="005E5617">
              <w:t xml:space="preserve"> requires TCEQ to ado</w:t>
            </w:r>
            <w:r w:rsidRPr="005E5617">
              <w:t>pt rules necessary to implement the bill's provisions.</w:t>
            </w:r>
          </w:p>
          <w:p w:rsidR="008423E4" w:rsidRPr="00835628" w:rsidRDefault="003A2C2B" w:rsidP="00BB2992">
            <w:pPr>
              <w:rPr>
                <w:b/>
              </w:rPr>
            </w:pPr>
          </w:p>
        </w:tc>
      </w:tr>
      <w:tr w:rsidR="00D4134C" w:rsidTr="00345119">
        <w:tc>
          <w:tcPr>
            <w:tcW w:w="9576" w:type="dxa"/>
          </w:tcPr>
          <w:p w:rsidR="008423E4" w:rsidRPr="00A8133F" w:rsidRDefault="003A2C2B" w:rsidP="00BB299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A2C2B" w:rsidP="00BB2992"/>
          <w:p w:rsidR="008423E4" w:rsidRPr="003624F2" w:rsidRDefault="003A2C2B" w:rsidP="00BB29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</w:t>
            </w:r>
            <w:r>
              <w:t xml:space="preserve"> </w:t>
            </w:r>
            <w:r>
              <w:t>September 1, 2019.</w:t>
            </w:r>
          </w:p>
          <w:p w:rsidR="008423E4" w:rsidRPr="00233FDB" w:rsidRDefault="003A2C2B" w:rsidP="00BB2992">
            <w:pPr>
              <w:rPr>
                <w:b/>
              </w:rPr>
            </w:pPr>
          </w:p>
        </w:tc>
      </w:tr>
      <w:tr w:rsidR="00D4134C" w:rsidTr="00345119">
        <w:tc>
          <w:tcPr>
            <w:tcW w:w="9576" w:type="dxa"/>
          </w:tcPr>
          <w:p w:rsidR="00806391" w:rsidRDefault="003A2C2B" w:rsidP="00BB299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E3B93" w:rsidRDefault="003A2C2B" w:rsidP="00BB2992">
            <w:pPr>
              <w:jc w:val="both"/>
            </w:pPr>
          </w:p>
          <w:p w:rsidR="008E3B93" w:rsidRDefault="003A2C2B" w:rsidP="00BB2992">
            <w:pPr>
              <w:jc w:val="both"/>
            </w:pPr>
            <w:r>
              <w:t>While C.S.H.B. 1953 may differ from the original in minor</w:t>
            </w:r>
            <w:r>
              <w:t xml:space="preserve"> or nonsubstantive ways, the following summarizes the substantial differences between the introduced and committee substitute versions of the bill.</w:t>
            </w:r>
          </w:p>
          <w:p w:rsidR="008E3B93" w:rsidRDefault="003A2C2B" w:rsidP="00BB2992">
            <w:pPr>
              <w:jc w:val="both"/>
            </w:pPr>
          </w:p>
          <w:p w:rsidR="00FA7519" w:rsidRDefault="003A2C2B" w:rsidP="00BB2992">
            <w:pPr>
              <w:jc w:val="both"/>
            </w:pPr>
            <w:r>
              <w:t xml:space="preserve">The substitute </w:t>
            </w:r>
            <w:r>
              <w:t>revises</w:t>
            </w:r>
            <w:r>
              <w:t xml:space="preserve"> language </w:t>
            </w:r>
            <w:r>
              <w:t>for</w:t>
            </w:r>
            <w:r>
              <w:t xml:space="preserve"> the definitions </w:t>
            </w:r>
            <w:r>
              <w:t>added</w:t>
            </w:r>
            <w:r>
              <w:t xml:space="preserve"> and </w:t>
            </w:r>
            <w:r>
              <w:t>amended</w:t>
            </w:r>
            <w:r>
              <w:t xml:space="preserve"> by the bill</w:t>
            </w:r>
            <w:r>
              <w:t xml:space="preserve"> and includes certain amen</w:t>
            </w:r>
            <w:r>
              <w:t>ded definitions for "solid waste</w:t>
            </w:r>
            <w:r>
              <w:t>,</w:t>
            </w:r>
            <w:r>
              <w:t xml:space="preserve">" </w:t>
            </w:r>
            <w:r>
              <w:t>"processing," and "solid waste facility."</w:t>
            </w:r>
            <w:r>
              <w:t xml:space="preserve"> </w:t>
            </w:r>
          </w:p>
          <w:p w:rsidR="00FA7519" w:rsidRDefault="003A2C2B" w:rsidP="00BB2992">
            <w:pPr>
              <w:jc w:val="both"/>
            </w:pPr>
          </w:p>
          <w:p w:rsidR="00FA7519" w:rsidRDefault="003A2C2B" w:rsidP="00BB2992">
            <w:pPr>
              <w:jc w:val="both"/>
            </w:pPr>
            <w:r>
              <w:t xml:space="preserve">The </w:t>
            </w:r>
            <w:r>
              <w:t>substitute</w:t>
            </w:r>
            <w:r>
              <w:t xml:space="preserve"> includes </w:t>
            </w:r>
            <w:r>
              <w:t xml:space="preserve">a </w:t>
            </w:r>
            <w:r>
              <w:t>provision</w:t>
            </w:r>
            <w:r w:rsidRPr="006060FC">
              <w:t xml:space="preserve"> subject</w:t>
            </w:r>
            <w:r>
              <w:t>ing</w:t>
            </w:r>
            <w:r w:rsidRPr="006060FC">
              <w:t xml:space="preserve"> the recycling</w:t>
            </w:r>
            <w:r w:rsidRPr="006060FC">
              <w:t xml:space="preserve"> and reuse of post-use polymers and recoverable feedstocks classified as hazardous waste under federal law to the federal hazardous waste recycling requirements</w:t>
            </w:r>
            <w:r>
              <w:t xml:space="preserve">. </w:t>
            </w:r>
          </w:p>
          <w:p w:rsidR="00FA7519" w:rsidRDefault="003A2C2B" w:rsidP="00BB2992">
            <w:pPr>
              <w:jc w:val="both"/>
            </w:pPr>
          </w:p>
          <w:p w:rsidR="00FA7519" w:rsidRDefault="003A2C2B" w:rsidP="00BB2992">
            <w:pPr>
              <w:jc w:val="both"/>
            </w:pPr>
            <w:r>
              <w:t xml:space="preserve">The substitute </w:t>
            </w:r>
            <w:r>
              <w:t>revises</w:t>
            </w:r>
            <w:r>
              <w:t xml:space="preserve"> the conditions for the exemption of </w:t>
            </w:r>
            <w:r w:rsidRPr="007A449D">
              <w:t xml:space="preserve">a facility </w:t>
            </w:r>
            <w:r>
              <w:t>that reuses or convert</w:t>
            </w:r>
            <w:r>
              <w:t xml:space="preserve">s recyclable materials through pyrolysis or gasification </w:t>
            </w:r>
            <w:r w:rsidRPr="007A449D">
              <w:t xml:space="preserve">from regulation under </w:t>
            </w:r>
            <w:r>
              <w:t xml:space="preserve">certain </w:t>
            </w:r>
            <w:r w:rsidRPr="007A449D">
              <w:t>rules</w:t>
            </w:r>
            <w:r>
              <w:t xml:space="preserve"> by </w:t>
            </w:r>
            <w:r>
              <w:t>clarifying that</w:t>
            </w:r>
            <w:r>
              <w:t xml:space="preserve"> solid waste generated from converting the materials </w:t>
            </w:r>
            <w:r>
              <w:t xml:space="preserve">is </w:t>
            </w:r>
            <w:r>
              <w:t>to</w:t>
            </w:r>
            <w:r>
              <w:t xml:space="preserve"> be disposed</w:t>
            </w:r>
            <w:r>
              <w:t xml:space="preserve"> of</w:t>
            </w:r>
            <w:r>
              <w:t xml:space="preserve"> in a hazardous solid waste management facility instead of a solid waste</w:t>
            </w:r>
            <w:r>
              <w:t xml:space="preserve"> facility </w:t>
            </w:r>
            <w:r>
              <w:t>if</w:t>
            </w:r>
            <w:r>
              <w:t xml:space="preserve"> appropriate</w:t>
            </w:r>
            <w:r>
              <w:t>.</w:t>
            </w:r>
            <w:r>
              <w:t xml:space="preserve"> </w:t>
            </w:r>
          </w:p>
          <w:p w:rsidR="00FA7519" w:rsidRDefault="003A2C2B" w:rsidP="00BB2992">
            <w:pPr>
              <w:jc w:val="both"/>
            </w:pPr>
          </w:p>
          <w:p w:rsidR="00FA7519" w:rsidRDefault="003A2C2B" w:rsidP="00BB2992">
            <w:pPr>
              <w:jc w:val="both"/>
            </w:pPr>
            <w:r>
              <w:t xml:space="preserve">The substitute does not include provisions </w:t>
            </w:r>
            <w:r w:rsidRPr="007A449D">
              <w:t>requir</w:t>
            </w:r>
            <w:r>
              <w:t>ing</w:t>
            </w:r>
            <w:r w:rsidRPr="007A449D">
              <w:t xml:space="preserve"> TCEQ and </w:t>
            </w:r>
            <w:r>
              <w:t>the controller</w:t>
            </w:r>
            <w:r w:rsidRPr="007A449D">
              <w:t xml:space="preserve"> to utilize the pollution prevention advisory committee to promote </w:t>
            </w:r>
            <w:r>
              <w:t>s</w:t>
            </w:r>
            <w:r w:rsidRPr="007A449D">
              <w:t xml:space="preserve">ustainable </w:t>
            </w:r>
            <w:r>
              <w:t>m</w:t>
            </w:r>
            <w:r w:rsidRPr="007A449D">
              <w:t xml:space="preserve">aterials </w:t>
            </w:r>
            <w:r>
              <w:t>m</w:t>
            </w:r>
            <w:r w:rsidRPr="007A449D">
              <w:t xml:space="preserve">anagement </w:t>
            </w:r>
            <w:r w:rsidRPr="007A449D">
              <w:t>and the development and use of pyrolysis and gasific</w:t>
            </w:r>
            <w:r w:rsidRPr="007A449D">
              <w:t>ation processes</w:t>
            </w:r>
            <w:r>
              <w:t xml:space="preserve"> for certain purposes and providing for a related study.</w:t>
            </w:r>
            <w:r>
              <w:t xml:space="preserve"> </w:t>
            </w:r>
          </w:p>
          <w:p w:rsidR="00FA7519" w:rsidRDefault="003A2C2B" w:rsidP="00BB2992">
            <w:pPr>
              <w:jc w:val="both"/>
            </w:pPr>
          </w:p>
          <w:p w:rsidR="00EA4195" w:rsidRDefault="003A2C2B" w:rsidP="00BB2992">
            <w:pPr>
              <w:jc w:val="both"/>
            </w:pPr>
            <w:r>
              <w:t xml:space="preserve">The </w:t>
            </w:r>
            <w:r>
              <w:t>substitute</w:t>
            </w:r>
            <w:r>
              <w:t xml:space="preserve"> includes </w:t>
            </w:r>
            <w:r>
              <w:t xml:space="preserve">a </w:t>
            </w:r>
            <w:r>
              <w:t xml:space="preserve">requirement for </w:t>
            </w:r>
            <w:r>
              <w:t>TCEQ to adopt rules</w:t>
            </w:r>
            <w:r>
              <w:t xml:space="preserve"> necessary to implement the bill's provisions</w:t>
            </w:r>
            <w:r>
              <w:t xml:space="preserve">. </w:t>
            </w:r>
          </w:p>
          <w:p w:rsidR="00EA4195" w:rsidRDefault="003A2C2B" w:rsidP="00BB2992">
            <w:pPr>
              <w:jc w:val="both"/>
            </w:pPr>
          </w:p>
          <w:p w:rsidR="008E3B93" w:rsidRDefault="003A2C2B" w:rsidP="00BB2992">
            <w:pPr>
              <w:jc w:val="both"/>
            </w:pPr>
            <w:r>
              <w:t xml:space="preserve">The substitute changes the </w:t>
            </w:r>
            <w:r>
              <w:t xml:space="preserve">bill's </w:t>
            </w:r>
            <w:r>
              <w:t>effective date.</w:t>
            </w:r>
          </w:p>
          <w:p w:rsidR="008E3B93" w:rsidRPr="008E3B93" w:rsidRDefault="003A2C2B" w:rsidP="00BB2992">
            <w:pPr>
              <w:jc w:val="both"/>
            </w:pPr>
          </w:p>
        </w:tc>
      </w:tr>
      <w:tr w:rsidR="00D4134C" w:rsidTr="00345119">
        <w:tc>
          <w:tcPr>
            <w:tcW w:w="9576" w:type="dxa"/>
          </w:tcPr>
          <w:p w:rsidR="00806391" w:rsidRPr="009C1E9A" w:rsidRDefault="003A2C2B" w:rsidP="00BB2992">
            <w:pPr>
              <w:rPr>
                <w:b/>
                <w:u w:val="single"/>
              </w:rPr>
            </w:pPr>
          </w:p>
        </w:tc>
      </w:tr>
      <w:tr w:rsidR="00D4134C" w:rsidTr="00345119">
        <w:tc>
          <w:tcPr>
            <w:tcW w:w="9576" w:type="dxa"/>
          </w:tcPr>
          <w:p w:rsidR="00806391" w:rsidRPr="00806391" w:rsidRDefault="003A2C2B" w:rsidP="00BB2992">
            <w:pPr>
              <w:jc w:val="both"/>
            </w:pPr>
          </w:p>
        </w:tc>
      </w:tr>
    </w:tbl>
    <w:p w:rsidR="008423E4" w:rsidRPr="00BE0E75" w:rsidRDefault="003A2C2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A2C2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A2C2B">
      <w:r>
        <w:separator/>
      </w:r>
    </w:p>
  </w:endnote>
  <w:endnote w:type="continuationSeparator" w:id="0">
    <w:p w:rsidR="00000000" w:rsidRDefault="003A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A2C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4134C" w:rsidTr="009C1E9A">
      <w:trPr>
        <w:cantSplit/>
      </w:trPr>
      <w:tc>
        <w:tcPr>
          <w:tcW w:w="0" w:type="pct"/>
        </w:tcPr>
        <w:p w:rsidR="00137D90" w:rsidRDefault="003A2C2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A2C2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A2C2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A2C2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A2C2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4134C" w:rsidTr="009C1E9A">
      <w:trPr>
        <w:cantSplit/>
      </w:trPr>
      <w:tc>
        <w:tcPr>
          <w:tcW w:w="0" w:type="pct"/>
        </w:tcPr>
        <w:p w:rsidR="00EC379B" w:rsidRDefault="003A2C2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A2C2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22565</w:t>
          </w:r>
        </w:p>
      </w:tc>
      <w:tc>
        <w:tcPr>
          <w:tcW w:w="2453" w:type="pct"/>
        </w:tcPr>
        <w:p w:rsidR="00EC379B" w:rsidRDefault="003A2C2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19.87.715</w:t>
          </w:r>
          <w:r>
            <w:fldChar w:fldCharType="end"/>
          </w:r>
        </w:p>
      </w:tc>
    </w:tr>
    <w:tr w:rsidR="00D4134C" w:rsidTr="009C1E9A">
      <w:trPr>
        <w:cantSplit/>
      </w:trPr>
      <w:tc>
        <w:tcPr>
          <w:tcW w:w="0" w:type="pct"/>
        </w:tcPr>
        <w:p w:rsidR="00EC379B" w:rsidRDefault="003A2C2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A2C2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17507</w:t>
          </w:r>
        </w:p>
      </w:tc>
      <w:tc>
        <w:tcPr>
          <w:tcW w:w="2453" w:type="pct"/>
        </w:tcPr>
        <w:p w:rsidR="00EC379B" w:rsidRDefault="003A2C2B" w:rsidP="006D504F">
          <w:pPr>
            <w:pStyle w:val="Footer"/>
            <w:rPr>
              <w:rStyle w:val="PageNumber"/>
            </w:rPr>
          </w:pPr>
        </w:p>
        <w:p w:rsidR="00EC379B" w:rsidRDefault="003A2C2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4134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A2C2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A2C2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A2C2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A2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A2C2B">
      <w:r>
        <w:separator/>
      </w:r>
    </w:p>
  </w:footnote>
  <w:footnote w:type="continuationSeparator" w:id="0">
    <w:p w:rsidR="00000000" w:rsidRDefault="003A2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A2C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A2C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A2C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C6290"/>
    <w:multiLevelType w:val="hybridMultilevel"/>
    <w:tmpl w:val="E772AEFA"/>
    <w:lvl w:ilvl="0" w:tplc="61A0A1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E0DE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041F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66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88FB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98F1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F0A0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78F2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B27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4C"/>
    <w:rsid w:val="003A2C2B"/>
    <w:rsid w:val="00D4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C27E45-7AE7-433E-BA71-1B965CF3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715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1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15B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1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15B6"/>
    <w:rPr>
      <w:b/>
      <w:bCs/>
    </w:rPr>
  </w:style>
  <w:style w:type="character" w:styleId="Hyperlink">
    <w:name w:val="Hyperlink"/>
    <w:basedOn w:val="DefaultParagraphFont"/>
    <w:unhideWhenUsed/>
    <w:rsid w:val="008621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932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3909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HB01953 (Committee Report (Substituted))</vt:lpstr>
    </vt:vector>
  </TitlesOfParts>
  <Company>State of Texas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22565</dc:subject>
  <dc:creator>State of Texas</dc:creator>
  <dc:description>HB 1953 by Thompson, Ed-(H)Environmental Regulation (Substitute Document Number: 86R 17507)</dc:description>
  <cp:lastModifiedBy>Laura Ramsay</cp:lastModifiedBy>
  <cp:revision>2</cp:revision>
  <cp:lastPrinted>2003-11-26T17:21:00Z</cp:lastPrinted>
  <dcterms:created xsi:type="dcterms:W3CDTF">2019-04-04T20:07:00Z</dcterms:created>
  <dcterms:modified xsi:type="dcterms:W3CDTF">2019-04-04T20:07:00Z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19.87.715</vt:lpwstr>
  </property>
</Properties>
</file>