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F5B" w:rsidTr="00345119">
        <w:tc>
          <w:tcPr>
            <w:tcW w:w="9576" w:type="dxa"/>
            <w:noWrap/>
          </w:tcPr>
          <w:p w:rsidR="008423E4" w:rsidRPr="0022177D" w:rsidRDefault="001E62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6278" w:rsidP="008423E4">
      <w:pPr>
        <w:jc w:val="center"/>
      </w:pPr>
    </w:p>
    <w:p w:rsidR="008423E4" w:rsidRPr="00B31F0E" w:rsidRDefault="001E6278" w:rsidP="008423E4"/>
    <w:p w:rsidR="008423E4" w:rsidRPr="00742794" w:rsidRDefault="001E62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1F5B" w:rsidTr="00345119">
        <w:tc>
          <w:tcPr>
            <w:tcW w:w="9576" w:type="dxa"/>
          </w:tcPr>
          <w:p w:rsidR="008423E4" w:rsidRPr="00861995" w:rsidRDefault="001E6278" w:rsidP="00345119">
            <w:pPr>
              <w:jc w:val="right"/>
            </w:pPr>
            <w:r>
              <w:t>H.B. 1964</w:t>
            </w:r>
          </w:p>
        </w:tc>
      </w:tr>
      <w:tr w:rsidR="00381F5B" w:rsidTr="00345119">
        <w:tc>
          <w:tcPr>
            <w:tcW w:w="9576" w:type="dxa"/>
          </w:tcPr>
          <w:p w:rsidR="008423E4" w:rsidRPr="00861995" w:rsidRDefault="001E6278" w:rsidP="00BF08DD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381F5B" w:rsidTr="00345119">
        <w:tc>
          <w:tcPr>
            <w:tcW w:w="9576" w:type="dxa"/>
          </w:tcPr>
          <w:p w:rsidR="008423E4" w:rsidRPr="00861995" w:rsidRDefault="001E6278" w:rsidP="00345119">
            <w:pPr>
              <w:jc w:val="right"/>
            </w:pPr>
            <w:r>
              <w:t>Natural Resources</w:t>
            </w:r>
          </w:p>
        </w:tc>
      </w:tr>
      <w:tr w:rsidR="00381F5B" w:rsidTr="00345119">
        <w:tc>
          <w:tcPr>
            <w:tcW w:w="9576" w:type="dxa"/>
          </w:tcPr>
          <w:p w:rsidR="008423E4" w:rsidRDefault="001E62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6278" w:rsidP="008423E4">
      <w:pPr>
        <w:tabs>
          <w:tab w:val="right" w:pos="9360"/>
        </w:tabs>
      </w:pPr>
    </w:p>
    <w:p w:rsidR="008423E4" w:rsidRDefault="001E6278" w:rsidP="008423E4"/>
    <w:p w:rsidR="008423E4" w:rsidRDefault="001E62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1F5B" w:rsidTr="00345119">
        <w:tc>
          <w:tcPr>
            <w:tcW w:w="9576" w:type="dxa"/>
          </w:tcPr>
          <w:p w:rsidR="008423E4" w:rsidRPr="00A8133F" w:rsidRDefault="001E6278" w:rsidP="00E533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6278" w:rsidP="00E53364"/>
          <w:p w:rsidR="008423E4" w:rsidRDefault="001E6278" w:rsidP="00E53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</w:t>
            </w:r>
            <w:r>
              <w:t>, since</w:t>
            </w:r>
            <w:r>
              <w:t xml:space="preserve"> the application process for a water right amendment </w:t>
            </w:r>
            <w:r>
              <w:t>may</w:t>
            </w:r>
            <w:r>
              <w:t xml:space="preserve"> be costly and lengthy</w:t>
            </w:r>
            <w:r>
              <w:t>, applications</w:t>
            </w:r>
            <w:r>
              <w:t xml:space="preserve"> </w:t>
            </w:r>
            <w:r>
              <w:t xml:space="preserve">for </w:t>
            </w:r>
            <w:r>
              <w:t>minor</w:t>
            </w:r>
            <w:r>
              <w:t xml:space="preserve"> or</w:t>
            </w:r>
            <w:r>
              <w:t xml:space="preserve"> technical water right amendments </w:t>
            </w:r>
            <w:r>
              <w:t>should</w:t>
            </w:r>
            <w:r>
              <w:t xml:space="preserve"> be exempt from</w:t>
            </w:r>
            <w:r>
              <w:t xml:space="preserve"> certain</w:t>
            </w:r>
            <w:r>
              <w:t xml:space="preserve"> burdensome procedural requirements.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1964 </w:t>
            </w:r>
            <w:r>
              <w:t>seeks to address this issue</w:t>
            </w:r>
            <w:r>
              <w:t xml:space="preserve"> by providing for a</w:t>
            </w:r>
            <w:r>
              <w:t>n</w:t>
            </w:r>
            <w:r>
              <w:t xml:space="preserve"> exemption </w:t>
            </w:r>
            <w:r>
              <w:t xml:space="preserve">from certain requirements </w:t>
            </w:r>
            <w:r>
              <w:t>for water right amendment applications</w:t>
            </w:r>
            <w:r>
              <w:t xml:space="preserve"> that meet specified cri</w:t>
            </w:r>
            <w:r>
              <w:t>teria</w:t>
            </w:r>
            <w:r>
              <w:t xml:space="preserve">. </w:t>
            </w:r>
          </w:p>
          <w:p w:rsidR="008423E4" w:rsidRPr="00E26B13" w:rsidRDefault="001E6278" w:rsidP="00E53364">
            <w:pPr>
              <w:rPr>
                <w:b/>
              </w:rPr>
            </w:pPr>
          </w:p>
        </w:tc>
      </w:tr>
      <w:tr w:rsidR="00381F5B" w:rsidTr="00345119">
        <w:tc>
          <w:tcPr>
            <w:tcW w:w="9576" w:type="dxa"/>
          </w:tcPr>
          <w:p w:rsidR="0017725B" w:rsidRDefault="001E6278" w:rsidP="00E53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6278" w:rsidP="00E53364">
            <w:pPr>
              <w:rPr>
                <w:b/>
                <w:u w:val="single"/>
              </w:rPr>
            </w:pPr>
          </w:p>
          <w:p w:rsidR="00A05F02" w:rsidRPr="00A05F02" w:rsidRDefault="001E6278" w:rsidP="00E5336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1E6278" w:rsidP="00E53364">
            <w:pPr>
              <w:rPr>
                <w:b/>
                <w:u w:val="single"/>
              </w:rPr>
            </w:pPr>
          </w:p>
        </w:tc>
      </w:tr>
      <w:tr w:rsidR="00381F5B" w:rsidTr="00345119">
        <w:tc>
          <w:tcPr>
            <w:tcW w:w="9576" w:type="dxa"/>
          </w:tcPr>
          <w:p w:rsidR="008423E4" w:rsidRPr="00A8133F" w:rsidRDefault="001E6278" w:rsidP="00E533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6278" w:rsidP="00E53364"/>
          <w:p w:rsidR="00A05F02" w:rsidRDefault="001E6278" w:rsidP="00E53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6278" w:rsidP="00E53364">
            <w:pPr>
              <w:rPr>
                <w:b/>
              </w:rPr>
            </w:pPr>
          </w:p>
        </w:tc>
      </w:tr>
      <w:tr w:rsidR="00381F5B" w:rsidTr="00345119">
        <w:tc>
          <w:tcPr>
            <w:tcW w:w="9576" w:type="dxa"/>
          </w:tcPr>
          <w:p w:rsidR="008423E4" w:rsidRPr="00A8133F" w:rsidRDefault="001E6278" w:rsidP="00E533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6278" w:rsidP="00E53364"/>
          <w:p w:rsidR="00D67735" w:rsidRDefault="001E6278" w:rsidP="00E53364">
            <w:pPr>
              <w:pStyle w:val="Header"/>
              <w:jc w:val="both"/>
            </w:pPr>
            <w:r>
              <w:t xml:space="preserve">H.B. </w:t>
            </w:r>
            <w:r>
              <w:t xml:space="preserve">1964 </w:t>
            </w:r>
            <w:r>
              <w:t>amends the Water Code to exempt</w:t>
            </w:r>
            <w:r>
              <w:t xml:space="preserve"> </w:t>
            </w:r>
            <w:r w:rsidRPr="0044742A">
              <w:t xml:space="preserve">an application for an </w:t>
            </w:r>
            <w:r>
              <w:t>amendment</w:t>
            </w:r>
            <w:r w:rsidRPr="0044742A">
              <w:t xml:space="preserve"> to a water right</w:t>
            </w:r>
            <w:r>
              <w:t xml:space="preserve">, in addition to </w:t>
            </w:r>
            <w:r>
              <w:t xml:space="preserve">an </w:t>
            </w:r>
            <w:r w:rsidRPr="005624E0">
              <w:t xml:space="preserve">application </w:t>
            </w:r>
            <w:r>
              <w:t>that meet</w:t>
            </w:r>
            <w:r>
              <w:t>s</w:t>
            </w:r>
            <w:r>
              <w:t xml:space="preserve"> </w:t>
            </w:r>
            <w:r>
              <w:t>statutory</w:t>
            </w:r>
            <w:r>
              <w:t xml:space="preserve"> requirements </w:t>
            </w:r>
            <w:r w:rsidRPr="005624E0">
              <w:t xml:space="preserve">and for which the </w:t>
            </w:r>
            <w:r>
              <w:t>Texas Commission on Environmental Quality (TCEQ)</w:t>
            </w:r>
            <w:r w:rsidRPr="005624E0">
              <w:t xml:space="preserve"> has determined that notice or an oppor</w:t>
            </w:r>
            <w:r w:rsidRPr="005624E0">
              <w:t>tunity for a contested case hearing is not required under another statute or</w:t>
            </w:r>
            <w:r>
              <w:t xml:space="preserve"> a</w:t>
            </w:r>
            <w:r w:rsidRPr="005624E0">
              <w:t xml:space="preserve"> </w:t>
            </w:r>
            <w:r>
              <w:t>TCEQ</w:t>
            </w:r>
            <w:r w:rsidRPr="005624E0">
              <w:t xml:space="preserve"> rule</w:t>
            </w:r>
            <w:r>
              <w:t>,</w:t>
            </w:r>
            <w:r>
              <w:t xml:space="preserve"> from any requirements of a statute or </w:t>
            </w:r>
            <w:r>
              <w:t>TCEQ</w:t>
            </w:r>
            <w:r>
              <w:t xml:space="preserve"> rule regarding notice and hearing or technical review by TCEQ or its executive director and to prohibit the application fro</w:t>
            </w:r>
            <w:r>
              <w:t>m being referred to the State Office of Administrative Hearings for a contested case hearing if</w:t>
            </w:r>
            <w:r>
              <w:t xml:space="preserve"> the </w:t>
            </w:r>
            <w:r w:rsidRPr="00BD06AE">
              <w:t>executive director</w:t>
            </w:r>
            <w:r>
              <w:t xml:space="preserve"> </w:t>
            </w:r>
            <w:r>
              <w:t>determines after an administrative review that</w:t>
            </w:r>
            <w:r>
              <w:t xml:space="preserve"> the application is for an amendment that: </w:t>
            </w:r>
          </w:p>
          <w:p w:rsidR="00D67735" w:rsidRDefault="001E6278" w:rsidP="00E533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adds a purpose of use that does not </w:t>
            </w:r>
            <w:r>
              <w:t>substantial</w:t>
            </w:r>
            <w:r>
              <w:t xml:space="preserve">ly </w:t>
            </w:r>
            <w:r>
              <w:t xml:space="preserve">alter the nature of the right from a right authorizing </w:t>
            </w:r>
            <w:r>
              <w:t xml:space="preserve">only </w:t>
            </w:r>
            <w:r>
              <w:t xml:space="preserve">nonconsumptive use to a right authorizing consumptive use or </w:t>
            </w:r>
            <w:r>
              <w:t xml:space="preserve">substantially </w:t>
            </w:r>
            <w:r>
              <w:t>alter a pattern of use that is explicitly authorized</w:t>
            </w:r>
            <w:r>
              <w:t xml:space="preserve"> in or required</w:t>
            </w:r>
            <w:r>
              <w:t xml:space="preserve"> by the original right; </w:t>
            </w:r>
          </w:p>
          <w:p w:rsidR="00D67735" w:rsidRDefault="001E6278" w:rsidP="00E533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adds a place of use locate</w:t>
            </w:r>
            <w:r>
              <w:t xml:space="preserve">d in the same basin as the place of use authorized by the original right; or </w:t>
            </w:r>
          </w:p>
          <w:p w:rsidR="008423E4" w:rsidRDefault="001E6278" w:rsidP="00E533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changes the point of diversion, provided that </w:t>
            </w:r>
            <w:r>
              <w:t>certain conditions are met regarding the</w:t>
            </w:r>
            <w:r>
              <w:t xml:space="preserve"> authorized rate of diversion, the original point of diversion</w:t>
            </w:r>
            <w:r>
              <w:t>,</w:t>
            </w:r>
            <w:r>
              <w:t xml:space="preserve"> and the new point of diversion</w:t>
            </w:r>
            <w:r>
              <w:t>.</w:t>
            </w:r>
          </w:p>
          <w:p w:rsidR="008423E4" w:rsidRPr="00835628" w:rsidRDefault="001E6278" w:rsidP="00E53364">
            <w:pPr>
              <w:rPr>
                <w:b/>
              </w:rPr>
            </w:pPr>
          </w:p>
        </w:tc>
      </w:tr>
      <w:tr w:rsidR="00381F5B" w:rsidTr="00345119">
        <w:tc>
          <w:tcPr>
            <w:tcW w:w="9576" w:type="dxa"/>
          </w:tcPr>
          <w:p w:rsidR="008423E4" w:rsidRPr="00A8133F" w:rsidRDefault="001E6278" w:rsidP="00E533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6278" w:rsidP="00E53364"/>
          <w:p w:rsidR="008423E4" w:rsidRPr="003624F2" w:rsidRDefault="001E6278" w:rsidP="00E53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E6278" w:rsidP="00E53364">
            <w:pPr>
              <w:rPr>
                <w:b/>
              </w:rPr>
            </w:pPr>
          </w:p>
        </w:tc>
      </w:tr>
    </w:tbl>
    <w:p w:rsidR="004108C3" w:rsidRPr="008423E4" w:rsidRDefault="001E627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6278">
      <w:r>
        <w:separator/>
      </w:r>
    </w:p>
  </w:endnote>
  <w:endnote w:type="continuationSeparator" w:id="0">
    <w:p w:rsidR="00000000" w:rsidRDefault="001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1F5B" w:rsidTr="009C1E9A">
      <w:trPr>
        <w:cantSplit/>
      </w:trPr>
      <w:tc>
        <w:tcPr>
          <w:tcW w:w="0" w:type="pct"/>
        </w:tcPr>
        <w:p w:rsidR="00137D90" w:rsidRDefault="001E62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62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62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62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62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1F5B" w:rsidTr="009C1E9A">
      <w:trPr>
        <w:cantSplit/>
      </w:trPr>
      <w:tc>
        <w:tcPr>
          <w:tcW w:w="0" w:type="pct"/>
        </w:tcPr>
        <w:p w:rsidR="00EC379B" w:rsidRDefault="001E62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62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18434</w:t>
          </w:r>
        </w:p>
      </w:tc>
      <w:tc>
        <w:tcPr>
          <w:tcW w:w="2453" w:type="pct"/>
        </w:tcPr>
        <w:p w:rsidR="00EC379B" w:rsidRDefault="001E62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19.67.541</w:t>
          </w:r>
          <w:r>
            <w:fldChar w:fldCharType="end"/>
          </w:r>
        </w:p>
      </w:tc>
    </w:tr>
    <w:tr w:rsidR="00381F5B" w:rsidTr="009C1E9A">
      <w:trPr>
        <w:cantSplit/>
      </w:trPr>
      <w:tc>
        <w:tcPr>
          <w:tcW w:w="0" w:type="pct"/>
        </w:tcPr>
        <w:p w:rsidR="00EC379B" w:rsidRDefault="001E62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62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6278" w:rsidP="006D504F">
          <w:pPr>
            <w:pStyle w:val="Footer"/>
            <w:rPr>
              <w:rStyle w:val="PageNumber"/>
            </w:rPr>
          </w:pPr>
        </w:p>
        <w:p w:rsidR="00EC379B" w:rsidRDefault="001E62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1F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62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62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62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6278">
      <w:r>
        <w:separator/>
      </w:r>
    </w:p>
  </w:footnote>
  <w:footnote w:type="continuationSeparator" w:id="0">
    <w:p w:rsidR="00000000" w:rsidRDefault="001E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49"/>
    <w:multiLevelType w:val="hybridMultilevel"/>
    <w:tmpl w:val="417A5AB6"/>
    <w:lvl w:ilvl="0" w:tplc="47281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0E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61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6E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EB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C6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8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1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81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B"/>
    <w:rsid w:val="001E6278"/>
    <w:rsid w:val="003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D42B30-0846-4D8D-8845-8D38525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F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F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F14"/>
    <w:rPr>
      <w:b/>
      <w:bCs/>
    </w:rPr>
  </w:style>
  <w:style w:type="character" w:styleId="Hyperlink">
    <w:name w:val="Hyperlink"/>
    <w:basedOn w:val="DefaultParagraphFont"/>
    <w:unhideWhenUsed/>
    <w:rsid w:val="00E2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2008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HB01964 (Committee Report (Unamended))</vt:lpstr>
    </vt:vector>
  </TitlesOfParts>
  <Company>State of Texas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18434</dc:subject>
  <dc:creator>State of Texas</dc:creator>
  <dc:description>HB 1964 by Ashby-(H)Natural Resources</dc:description>
  <cp:lastModifiedBy>Erin Conway</cp:lastModifiedBy>
  <cp:revision>2</cp:revision>
  <cp:lastPrinted>2003-11-26T17:21:00Z</cp:lastPrinted>
  <dcterms:created xsi:type="dcterms:W3CDTF">2019-03-21T19:44:00Z</dcterms:created>
  <dcterms:modified xsi:type="dcterms:W3CDTF">2019-03-21T19:44:00Z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19.67.541</vt:lpwstr>
  </property>
</Properties>
</file>