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683F" w:rsidTr="00345119">
        <w:tc>
          <w:tcPr>
            <w:tcW w:w="9576" w:type="dxa"/>
            <w:noWrap/>
          </w:tcPr>
          <w:p w:rsidR="008423E4" w:rsidRPr="0022177D" w:rsidRDefault="002F79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794A" w:rsidP="008423E4">
      <w:pPr>
        <w:jc w:val="center"/>
      </w:pPr>
    </w:p>
    <w:p w:rsidR="008423E4" w:rsidRPr="00B31F0E" w:rsidRDefault="002F794A" w:rsidP="008423E4"/>
    <w:p w:rsidR="008423E4" w:rsidRPr="00742794" w:rsidRDefault="002F79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683F" w:rsidTr="00345119">
        <w:tc>
          <w:tcPr>
            <w:tcW w:w="9576" w:type="dxa"/>
          </w:tcPr>
          <w:p w:rsidR="008423E4" w:rsidRPr="00861995" w:rsidRDefault="002F794A" w:rsidP="00345119">
            <w:pPr>
              <w:jc w:val="right"/>
            </w:pPr>
            <w:r>
              <w:t>H.B. 1968</w:t>
            </w:r>
          </w:p>
        </w:tc>
      </w:tr>
      <w:tr w:rsidR="0051683F" w:rsidTr="00345119">
        <w:tc>
          <w:tcPr>
            <w:tcW w:w="9576" w:type="dxa"/>
          </w:tcPr>
          <w:p w:rsidR="008423E4" w:rsidRPr="00861995" w:rsidRDefault="002F794A" w:rsidP="00F045D3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51683F" w:rsidTr="00345119">
        <w:tc>
          <w:tcPr>
            <w:tcW w:w="9576" w:type="dxa"/>
          </w:tcPr>
          <w:p w:rsidR="008423E4" w:rsidRPr="00861995" w:rsidRDefault="002F794A" w:rsidP="00345119">
            <w:pPr>
              <w:jc w:val="right"/>
            </w:pPr>
            <w:r>
              <w:t>Insurance</w:t>
            </w:r>
          </w:p>
        </w:tc>
      </w:tr>
      <w:tr w:rsidR="0051683F" w:rsidTr="00345119">
        <w:tc>
          <w:tcPr>
            <w:tcW w:w="9576" w:type="dxa"/>
          </w:tcPr>
          <w:p w:rsidR="008423E4" w:rsidRDefault="002F794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794A" w:rsidP="008423E4">
      <w:pPr>
        <w:tabs>
          <w:tab w:val="right" w:pos="9360"/>
        </w:tabs>
      </w:pPr>
    </w:p>
    <w:p w:rsidR="008423E4" w:rsidRDefault="002F794A" w:rsidP="008423E4"/>
    <w:p w:rsidR="008423E4" w:rsidRDefault="002F79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1683F" w:rsidTr="00345119">
        <w:tc>
          <w:tcPr>
            <w:tcW w:w="9576" w:type="dxa"/>
          </w:tcPr>
          <w:p w:rsidR="008423E4" w:rsidRPr="00A8133F" w:rsidRDefault="002F794A" w:rsidP="004D29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794A" w:rsidP="004D2919"/>
          <w:p w:rsidR="008423E4" w:rsidRDefault="002F794A" w:rsidP="004D29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Many Texas children are born with craniofacial abnormalities every year. Typically, these children</w:t>
            </w:r>
            <w:r>
              <w:t xml:space="preserve">, who should be treated in </w:t>
            </w:r>
            <w:r>
              <w:t>accordance with certain developmental phases</w:t>
            </w:r>
            <w:r>
              <w:t>,</w:t>
            </w:r>
            <w:r>
              <w:t xml:space="preserve"> </w:t>
            </w:r>
            <w:r>
              <w:t xml:space="preserve">need a comprehensive treatment plan to </w:t>
            </w:r>
            <w:r>
              <w:t xml:space="preserve">timely </w:t>
            </w:r>
            <w:r>
              <w:t>address surgical needs</w:t>
            </w:r>
            <w:r>
              <w:t xml:space="preserve"> and</w:t>
            </w:r>
            <w:r>
              <w:t xml:space="preserve"> </w:t>
            </w:r>
            <w:r>
              <w:t>other</w:t>
            </w:r>
            <w:r>
              <w:t xml:space="preserve"> necessary treatments. Postponing such treatment may </w:t>
            </w:r>
            <w:r>
              <w:t xml:space="preserve">burden </w:t>
            </w:r>
            <w:r>
              <w:t xml:space="preserve">not only </w:t>
            </w:r>
            <w:r>
              <w:t xml:space="preserve">the child with </w:t>
            </w:r>
            <w:r>
              <w:t xml:space="preserve">more extensive procedures, but </w:t>
            </w:r>
            <w:r>
              <w:t>also those concer</w:t>
            </w:r>
            <w:r>
              <w:t>ned with</w:t>
            </w:r>
            <w:r>
              <w:t xml:space="preserve"> greater </w:t>
            </w:r>
            <w:r>
              <w:t xml:space="preserve">medical </w:t>
            </w:r>
            <w:r>
              <w:t>cos</w:t>
            </w:r>
            <w:r>
              <w:t>ts</w:t>
            </w:r>
            <w:r>
              <w:t>.</w:t>
            </w:r>
            <w:r>
              <w:t xml:space="preserve"> Expanding </w:t>
            </w:r>
            <w:r>
              <w:t>insurance coverage for children with craniofacial abnormalities to include</w:t>
            </w:r>
            <w:r>
              <w:t xml:space="preserve"> the treatment of primary conditions constituting craniofacial abnormalities and secondary conditions related to or arising from such abnorm</w:t>
            </w:r>
            <w:r>
              <w:t>alities</w:t>
            </w:r>
            <w:r>
              <w:t xml:space="preserve"> would help</w:t>
            </w:r>
            <w:r>
              <w:t xml:space="preserve"> ease the burdens</w:t>
            </w:r>
            <w:r>
              <w:t xml:space="preserve">. H.B. 1968 seeks to provide this expansion.  </w:t>
            </w:r>
          </w:p>
          <w:p w:rsidR="008423E4" w:rsidRPr="00E26B13" w:rsidRDefault="002F794A" w:rsidP="004D2919">
            <w:pPr>
              <w:rPr>
                <w:b/>
              </w:rPr>
            </w:pPr>
          </w:p>
        </w:tc>
      </w:tr>
      <w:tr w:rsidR="0051683F" w:rsidTr="00345119">
        <w:tc>
          <w:tcPr>
            <w:tcW w:w="9576" w:type="dxa"/>
          </w:tcPr>
          <w:p w:rsidR="0017725B" w:rsidRDefault="002F794A" w:rsidP="004D29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794A" w:rsidP="004D2919">
            <w:pPr>
              <w:rPr>
                <w:b/>
                <w:u w:val="single"/>
              </w:rPr>
            </w:pPr>
          </w:p>
          <w:p w:rsidR="006E31BE" w:rsidRPr="006E31BE" w:rsidRDefault="002F794A" w:rsidP="004D2919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4D2919" w:rsidRDefault="002F794A" w:rsidP="004D2919">
            <w:pPr>
              <w:rPr>
                <w:b/>
                <w:sz w:val="20"/>
                <w:u w:val="single"/>
              </w:rPr>
            </w:pPr>
          </w:p>
        </w:tc>
      </w:tr>
      <w:tr w:rsidR="0051683F" w:rsidTr="00345119">
        <w:tc>
          <w:tcPr>
            <w:tcW w:w="9576" w:type="dxa"/>
          </w:tcPr>
          <w:p w:rsidR="008423E4" w:rsidRPr="00A8133F" w:rsidRDefault="002F794A" w:rsidP="004D29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4D2919" w:rsidRDefault="002F794A" w:rsidP="004D2919">
            <w:pPr>
              <w:rPr>
                <w:sz w:val="20"/>
              </w:rPr>
            </w:pPr>
          </w:p>
          <w:p w:rsidR="006E31BE" w:rsidRDefault="002F794A" w:rsidP="004D29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4D2919" w:rsidRDefault="002F794A" w:rsidP="004D2919">
            <w:pPr>
              <w:rPr>
                <w:b/>
                <w:sz w:val="20"/>
              </w:rPr>
            </w:pPr>
          </w:p>
        </w:tc>
      </w:tr>
      <w:tr w:rsidR="0051683F" w:rsidTr="00345119">
        <w:tc>
          <w:tcPr>
            <w:tcW w:w="9576" w:type="dxa"/>
          </w:tcPr>
          <w:p w:rsidR="008423E4" w:rsidRPr="00A8133F" w:rsidRDefault="002F794A" w:rsidP="004D29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4D2919" w:rsidRDefault="002F794A" w:rsidP="004D2919">
            <w:pPr>
              <w:rPr>
                <w:sz w:val="20"/>
              </w:rPr>
            </w:pPr>
          </w:p>
          <w:p w:rsidR="00786706" w:rsidRDefault="002F794A" w:rsidP="004D29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1968 amends the Insurance Code to require a health benefit plan that provides coverage for reconstructive surgery for child craniofacial abnormalities to provide coverage for the </w:t>
            </w:r>
            <w:r>
              <w:t xml:space="preserve">treatment of </w:t>
            </w:r>
            <w:r>
              <w:t xml:space="preserve">primary conditions constituting craniofacial abnormalities and secondary conditions related to or arising from </w:t>
            </w:r>
            <w:r>
              <w:t>such abnormalities</w:t>
            </w:r>
            <w:r>
              <w:t>, including the following:</w:t>
            </w:r>
          </w:p>
          <w:p w:rsidR="00786706" w:rsidRDefault="002F794A" w:rsidP="004D29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86706">
              <w:t>oral and facial surgery, surgical management, and follow-up care;</w:t>
            </w:r>
          </w:p>
          <w:p w:rsidR="00786706" w:rsidRDefault="002F794A" w:rsidP="004D29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86706">
              <w:t>prosthetic treatments</w:t>
            </w:r>
            <w:r w:rsidRPr="00786706">
              <w:t>, including obturators and speech and feeding appliances;</w:t>
            </w:r>
          </w:p>
          <w:p w:rsidR="00786706" w:rsidRDefault="002F794A" w:rsidP="004D29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86706">
              <w:t>orthodontic treatment and management;</w:t>
            </w:r>
          </w:p>
          <w:p w:rsidR="00786706" w:rsidRDefault="002F794A" w:rsidP="004D29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86706">
              <w:t>preventive and restorative dentistry to ensure good health and adequate dental structures for orthodontic treatment or prosthetic management or therapy;</w:t>
            </w:r>
          </w:p>
          <w:p w:rsidR="00786706" w:rsidRDefault="002F794A" w:rsidP="004D29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86706">
              <w:t>speech-</w:t>
            </w:r>
            <w:r w:rsidRPr="00786706">
              <w:t>language pathology services, including evaluation and therapy;</w:t>
            </w:r>
          </w:p>
          <w:p w:rsidR="00786706" w:rsidRDefault="002F794A" w:rsidP="004D29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86706">
              <w:t>audiological assessments and amplification devices;</w:t>
            </w:r>
          </w:p>
          <w:p w:rsidR="00786706" w:rsidRDefault="002F794A" w:rsidP="004D29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86706">
              <w:t>otolaryngological treatment and management;</w:t>
            </w:r>
          </w:p>
          <w:p w:rsidR="00786706" w:rsidRDefault="002F794A" w:rsidP="004D29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86706">
              <w:t>psychological assessment and counseling;</w:t>
            </w:r>
            <w:r>
              <w:t xml:space="preserve"> and</w:t>
            </w:r>
          </w:p>
          <w:p w:rsidR="007A5314" w:rsidRDefault="002F794A" w:rsidP="004D291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A5314">
              <w:t>genetic assessment counseling for the parents and ch</w:t>
            </w:r>
            <w:r w:rsidRPr="007A5314">
              <w:t>ild</w:t>
            </w:r>
            <w:r>
              <w:t xml:space="preserve">. </w:t>
            </w:r>
          </w:p>
          <w:p w:rsidR="007A5314" w:rsidRPr="004D2919" w:rsidRDefault="002F794A" w:rsidP="004D291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0"/>
              </w:rPr>
            </w:pPr>
          </w:p>
          <w:p w:rsidR="008423E4" w:rsidRDefault="002F794A" w:rsidP="004D291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H.B. 1968</w:t>
            </w:r>
            <w:r>
              <w:t xml:space="preserve"> applies only to a health benefit plan that is delivered, issued for delivery, or renewed on or after January 1, 2020.</w:t>
            </w:r>
          </w:p>
          <w:p w:rsidR="008423E4" w:rsidRPr="00835628" w:rsidRDefault="002F794A" w:rsidP="004D2919">
            <w:pPr>
              <w:rPr>
                <w:b/>
              </w:rPr>
            </w:pPr>
          </w:p>
        </w:tc>
      </w:tr>
      <w:tr w:rsidR="0051683F" w:rsidTr="00345119">
        <w:tc>
          <w:tcPr>
            <w:tcW w:w="9576" w:type="dxa"/>
          </w:tcPr>
          <w:p w:rsidR="008423E4" w:rsidRPr="00A8133F" w:rsidRDefault="002F794A" w:rsidP="004D29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794A" w:rsidP="004D2919"/>
          <w:p w:rsidR="008423E4" w:rsidRPr="003624F2" w:rsidRDefault="002F794A" w:rsidP="004D29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F794A" w:rsidP="004D2919">
            <w:pPr>
              <w:rPr>
                <w:b/>
              </w:rPr>
            </w:pPr>
          </w:p>
        </w:tc>
      </w:tr>
    </w:tbl>
    <w:p w:rsidR="008423E4" w:rsidRPr="00BE0E75" w:rsidRDefault="002F794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794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794A">
      <w:r>
        <w:separator/>
      </w:r>
    </w:p>
  </w:endnote>
  <w:endnote w:type="continuationSeparator" w:id="0">
    <w:p w:rsidR="00000000" w:rsidRDefault="002F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7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683F" w:rsidTr="009C1E9A">
      <w:trPr>
        <w:cantSplit/>
      </w:trPr>
      <w:tc>
        <w:tcPr>
          <w:tcW w:w="0" w:type="pct"/>
        </w:tcPr>
        <w:p w:rsidR="00137D90" w:rsidRDefault="002F79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79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79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79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79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683F" w:rsidTr="009C1E9A">
      <w:trPr>
        <w:cantSplit/>
      </w:trPr>
      <w:tc>
        <w:tcPr>
          <w:tcW w:w="0" w:type="pct"/>
        </w:tcPr>
        <w:p w:rsidR="00EC379B" w:rsidRDefault="002F79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79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23038</w:t>
          </w:r>
        </w:p>
      </w:tc>
      <w:tc>
        <w:tcPr>
          <w:tcW w:w="2453" w:type="pct"/>
        </w:tcPr>
        <w:p w:rsidR="00EC379B" w:rsidRDefault="002F79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19.89.98</w:t>
          </w:r>
          <w:r>
            <w:fldChar w:fldCharType="end"/>
          </w:r>
        </w:p>
      </w:tc>
    </w:tr>
    <w:tr w:rsidR="0051683F" w:rsidTr="009C1E9A">
      <w:trPr>
        <w:cantSplit/>
      </w:trPr>
      <w:tc>
        <w:tcPr>
          <w:tcW w:w="0" w:type="pct"/>
        </w:tcPr>
        <w:p w:rsidR="00EC379B" w:rsidRDefault="002F79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79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794A" w:rsidP="006D504F">
          <w:pPr>
            <w:pStyle w:val="Footer"/>
            <w:rPr>
              <w:rStyle w:val="PageNumber"/>
            </w:rPr>
          </w:pPr>
        </w:p>
        <w:p w:rsidR="00EC379B" w:rsidRDefault="002F79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68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79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F79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79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7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794A">
      <w:r>
        <w:separator/>
      </w:r>
    </w:p>
  </w:footnote>
  <w:footnote w:type="continuationSeparator" w:id="0">
    <w:p w:rsidR="00000000" w:rsidRDefault="002F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7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7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7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214A"/>
    <w:multiLevelType w:val="hybridMultilevel"/>
    <w:tmpl w:val="7A662FB2"/>
    <w:lvl w:ilvl="0" w:tplc="E5F8E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80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AF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0D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0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E4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82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47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60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3F"/>
    <w:rsid w:val="002F794A"/>
    <w:rsid w:val="005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7143F5-58D8-4977-80D7-6063C72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31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1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1BE"/>
    <w:rPr>
      <w:b/>
      <w:bCs/>
    </w:rPr>
  </w:style>
  <w:style w:type="paragraph" w:styleId="Revision">
    <w:name w:val="Revision"/>
    <w:hidden/>
    <w:uiPriority w:val="99"/>
    <w:semiHidden/>
    <w:rsid w:val="006E31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2117</Characters>
  <Application>Microsoft Office Word</Application>
  <DocSecurity>4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HB01968 (Committee Report (Unamended))</vt:lpstr>
    </vt:vector>
  </TitlesOfParts>
  <Company>State of Texas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23038</dc:subject>
  <dc:creator>State of Texas</dc:creator>
  <dc:description>HB 1968 by Anderson, Charles "Doc"-(H)Insurance</dc:description>
  <cp:lastModifiedBy>Erin Conway</cp:lastModifiedBy>
  <cp:revision>2</cp:revision>
  <cp:lastPrinted>2003-11-26T17:21:00Z</cp:lastPrinted>
  <dcterms:created xsi:type="dcterms:W3CDTF">2019-04-19T00:12:00Z</dcterms:created>
  <dcterms:modified xsi:type="dcterms:W3CDTF">2019-04-19T00:12:00Z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19.89.98</vt:lpwstr>
  </property>
</Properties>
</file>