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E615D" w:rsidTr="00345119">
        <w:tc>
          <w:tcPr>
            <w:tcW w:w="9576" w:type="dxa"/>
            <w:noWrap/>
          </w:tcPr>
          <w:p w:rsidR="008423E4" w:rsidRPr="0022177D" w:rsidRDefault="00AA6C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6CF4" w:rsidP="008423E4">
      <w:pPr>
        <w:jc w:val="center"/>
      </w:pPr>
    </w:p>
    <w:p w:rsidR="008423E4" w:rsidRPr="00B31F0E" w:rsidRDefault="00AA6CF4" w:rsidP="008423E4"/>
    <w:p w:rsidR="008423E4" w:rsidRPr="00742794" w:rsidRDefault="00AA6C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E615D" w:rsidTr="00345119">
        <w:tc>
          <w:tcPr>
            <w:tcW w:w="9576" w:type="dxa"/>
          </w:tcPr>
          <w:p w:rsidR="008423E4" w:rsidRPr="00861995" w:rsidRDefault="00AA6CF4" w:rsidP="00345119">
            <w:pPr>
              <w:jc w:val="right"/>
            </w:pPr>
            <w:r>
              <w:t>C.S.H.B. 1987</w:t>
            </w:r>
          </w:p>
        </w:tc>
      </w:tr>
      <w:tr w:rsidR="00DE615D" w:rsidTr="00345119">
        <w:tc>
          <w:tcPr>
            <w:tcW w:w="9576" w:type="dxa"/>
          </w:tcPr>
          <w:p w:rsidR="008423E4" w:rsidRPr="00861995" w:rsidRDefault="00AA6CF4" w:rsidP="00A0436D">
            <w:pPr>
              <w:jc w:val="right"/>
            </w:pPr>
            <w:r>
              <w:t xml:space="preserve">By: </w:t>
            </w:r>
            <w:r>
              <w:t>Leman</w:t>
            </w:r>
          </w:p>
        </w:tc>
      </w:tr>
      <w:tr w:rsidR="00DE615D" w:rsidTr="00345119">
        <w:tc>
          <w:tcPr>
            <w:tcW w:w="9576" w:type="dxa"/>
          </w:tcPr>
          <w:p w:rsidR="008423E4" w:rsidRPr="00861995" w:rsidRDefault="00AA6CF4" w:rsidP="00345119">
            <w:pPr>
              <w:jc w:val="right"/>
            </w:pPr>
            <w:r>
              <w:t>Land &amp; Resource Management</w:t>
            </w:r>
          </w:p>
        </w:tc>
      </w:tr>
      <w:tr w:rsidR="00DE615D" w:rsidTr="00345119">
        <w:tc>
          <w:tcPr>
            <w:tcW w:w="9576" w:type="dxa"/>
          </w:tcPr>
          <w:p w:rsidR="008423E4" w:rsidRDefault="00AA6CF4" w:rsidP="00BD0E7A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A6CF4" w:rsidP="008423E4">
      <w:pPr>
        <w:tabs>
          <w:tab w:val="right" w:pos="9360"/>
        </w:tabs>
      </w:pPr>
    </w:p>
    <w:p w:rsidR="008423E4" w:rsidRDefault="00AA6CF4" w:rsidP="008423E4"/>
    <w:p w:rsidR="008423E4" w:rsidRDefault="00AA6C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E615D" w:rsidTr="00345119">
        <w:tc>
          <w:tcPr>
            <w:tcW w:w="9576" w:type="dxa"/>
          </w:tcPr>
          <w:p w:rsidR="008423E4" w:rsidRPr="00A8133F" w:rsidRDefault="00AA6CF4" w:rsidP="000D5E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6CF4" w:rsidP="000D5E4D"/>
          <w:p w:rsidR="008423E4" w:rsidRDefault="00AA6CF4" w:rsidP="000D5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there is </w:t>
            </w:r>
            <w:r>
              <w:t xml:space="preserve">ambiguity </w:t>
            </w:r>
            <w:r>
              <w:t xml:space="preserve">regarding </w:t>
            </w:r>
            <w:r>
              <w:t>the</w:t>
            </w:r>
            <w:r>
              <w:t xml:space="preserve"> requirement for </w:t>
            </w:r>
            <w:r>
              <w:t>an</w:t>
            </w:r>
            <w:r>
              <w:t xml:space="preserve"> entit</w:t>
            </w:r>
            <w:r>
              <w:t>y with eminent domain authority</w:t>
            </w:r>
            <w:r>
              <w:t xml:space="preserve"> </w:t>
            </w:r>
            <w:r>
              <w:t xml:space="preserve">to </w:t>
            </w:r>
            <w:r>
              <w:t>report any changes to that authority to the comptroller of public accounts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>1987</w:t>
            </w:r>
            <w:r>
              <w:t xml:space="preserve"> seeks to address this issue </w:t>
            </w:r>
            <w:r>
              <w:t>by requiring an entity that claims to have eminent domain authority but that a court finds does not have such authority to report that fin</w:t>
            </w:r>
            <w:r>
              <w:t>din</w:t>
            </w:r>
            <w:r>
              <w:t>g to the comptroller</w:t>
            </w:r>
            <w:r w:rsidRPr="00C460D5">
              <w:t>.</w:t>
            </w:r>
          </w:p>
          <w:p w:rsidR="008423E4" w:rsidRPr="00E26B13" w:rsidRDefault="00AA6CF4" w:rsidP="000D5E4D">
            <w:pPr>
              <w:rPr>
                <w:b/>
              </w:rPr>
            </w:pPr>
          </w:p>
        </w:tc>
      </w:tr>
      <w:tr w:rsidR="00DE615D" w:rsidTr="00345119">
        <w:tc>
          <w:tcPr>
            <w:tcW w:w="9576" w:type="dxa"/>
          </w:tcPr>
          <w:p w:rsidR="0017725B" w:rsidRDefault="00AA6CF4" w:rsidP="000D5E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6CF4" w:rsidP="000D5E4D">
            <w:pPr>
              <w:rPr>
                <w:b/>
                <w:u w:val="single"/>
              </w:rPr>
            </w:pPr>
          </w:p>
          <w:p w:rsidR="00724986" w:rsidRPr="00724986" w:rsidRDefault="00AA6CF4" w:rsidP="000D5E4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AA6CF4" w:rsidP="000D5E4D">
            <w:pPr>
              <w:rPr>
                <w:b/>
                <w:u w:val="single"/>
              </w:rPr>
            </w:pPr>
          </w:p>
        </w:tc>
      </w:tr>
      <w:tr w:rsidR="00DE615D" w:rsidTr="00345119">
        <w:tc>
          <w:tcPr>
            <w:tcW w:w="9576" w:type="dxa"/>
          </w:tcPr>
          <w:p w:rsidR="008423E4" w:rsidRPr="00A8133F" w:rsidRDefault="00AA6CF4" w:rsidP="000D5E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6CF4" w:rsidP="000D5E4D"/>
          <w:p w:rsidR="00724986" w:rsidRDefault="00AA6CF4" w:rsidP="000D5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A6CF4" w:rsidP="000D5E4D">
            <w:pPr>
              <w:rPr>
                <w:b/>
              </w:rPr>
            </w:pPr>
          </w:p>
        </w:tc>
      </w:tr>
      <w:tr w:rsidR="00DE615D" w:rsidTr="00345119">
        <w:tc>
          <w:tcPr>
            <w:tcW w:w="9576" w:type="dxa"/>
          </w:tcPr>
          <w:p w:rsidR="008423E4" w:rsidRPr="00A8133F" w:rsidRDefault="00AA6CF4" w:rsidP="000D5E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6CF4" w:rsidP="000D5E4D"/>
          <w:p w:rsidR="00991925" w:rsidRDefault="00AA6CF4" w:rsidP="000D5E4D">
            <w:pPr>
              <w:pStyle w:val="Header"/>
              <w:jc w:val="both"/>
            </w:pPr>
            <w:r>
              <w:t>C.S.</w:t>
            </w:r>
            <w:r>
              <w:t xml:space="preserve">H.B. 1987 amends the Government Code to </w:t>
            </w:r>
            <w:r w:rsidRPr="006A52ED">
              <w:t>require</w:t>
            </w:r>
            <w:r>
              <w:t xml:space="preserve"> an</w:t>
            </w:r>
            <w:r w:rsidRPr="006A52ED">
              <w:t xml:space="preserve"> </w:t>
            </w:r>
            <w:r>
              <w:t>entity</w:t>
            </w:r>
            <w:r>
              <w:t xml:space="preserve"> </w:t>
            </w:r>
            <w:r w:rsidRPr="003A35F6">
              <w:t>that claimed</w:t>
            </w:r>
            <w:r>
              <w:t xml:space="preserve"> </w:t>
            </w:r>
            <w:r>
              <w:t xml:space="preserve">to have eminent domain authority </w:t>
            </w:r>
            <w:r w:rsidRPr="003A35F6">
              <w:t>in a report submitted to the comptroller of public accounts for the maintenance of the comptroller's eminent domain database</w:t>
            </w:r>
            <w:r>
              <w:t xml:space="preserve"> and that</w:t>
            </w:r>
            <w:r>
              <w:t xml:space="preserve"> a </w:t>
            </w:r>
            <w:r>
              <w:t>court finds does not have such authority</w:t>
            </w:r>
            <w:r>
              <w:t xml:space="preserve"> in</w:t>
            </w:r>
            <w:r>
              <w:t xml:space="preserve"> a proceeding in a state court of competent jurisdiction</w:t>
            </w:r>
            <w:r>
              <w:t xml:space="preserve"> </w:t>
            </w:r>
            <w:r>
              <w:t>to report</w:t>
            </w:r>
            <w:r>
              <w:t xml:space="preserve"> the court's finding</w:t>
            </w:r>
            <w:r>
              <w:t xml:space="preserve"> to the comptroller not later than the 30th day after the date the proceeding is </w:t>
            </w:r>
            <w:r>
              <w:t xml:space="preserve">completed. </w:t>
            </w:r>
            <w:r>
              <w:t xml:space="preserve">The bill requires the comptroller, </w:t>
            </w:r>
            <w:r>
              <w:t>if an entity reports</w:t>
            </w:r>
            <w:r>
              <w:t xml:space="preserve"> </w:t>
            </w:r>
            <w:r>
              <w:t xml:space="preserve">such </w:t>
            </w:r>
            <w:r>
              <w:t>a</w:t>
            </w:r>
            <w:r>
              <w:t xml:space="preserve"> </w:t>
            </w:r>
            <w:r>
              <w:t>finding</w:t>
            </w:r>
            <w:r>
              <w:t xml:space="preserve">, </w:t>
            </w:r>
            <w:r>
              <w:t xml:space="preserve">to </w:t>
            </w:r>
            <w:r w:rsidRPr="00857305">
              <w:t>reflect the</w:t>
            </w:r>
            <w:r>
              <w:t xml:space="preserve"> finding in the database</w:t>
            </w:r>
            <w:r w:rsidRPr="00857305">
              <w:t xml:space="preserve"> </w:t>
            </w:r>
            <w:r w:rsidRPr="00B94636">
              <w:t>as soon as practicable after receiving the information</w:t>
            </w:r>
            <w:r w:rsidRPr="00857305">
              <w:t xml:space="preserve"> </w:t>
            </w:r>
            <w:r w:rsidRPr="00857305">
              <w:t>by including the entity on a separately maintained list of entities</w:t>
            </w:r>
            <w:r>
              <w:t xml:space="preserve"> that a court has found do not have eminent domain authority</w:t>
            </w:r>
            <w:r>
              <w:t>.</w:t>
            </w:r>
          </w:p>
          <w:p w:rsidR="008423E4" w:rsidRPr="00835628" w:rsidRDefault="00AA6CF4" w:rsidP="000D5E4D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DE615D" w:rsidTr="00345119">
        <w:tc>
          <w:tcPr>
            <w:tcW w:w="9576" w:type="dxa"/>
          </w:tcPr>
          <w:p w:rsidR="008423E4" w:rsidRPr="00A8133F" w:rsidRDefault="00AA6CF4" w:rsidP="000D5E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6CF4" w:rsidP="000D5E4D"/>
          <w:p w:rsidR="008423E4" w:rsidRPr="003624F2" w:rsidRDefault="00AA6CF4" w:rsidP="000D5E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A6CF4" w:rsidP="000D5E4D">
            <w:pPr>
              <w:rPr>
                <w:b/>
              </w:rPr>
            </w:pPr>
          </w:p>
        </w:tc>
      </w:tr>
      <w:tr w:rsidR="00DE615D" w:rsidTr="00345119">
        <w:tc>
          <w:tcPr>
            <w:tcW w:w="9576" w:type="dxa"/>
          </w:tcPr>
          <w:p w:rsidR="00A0436D" w:rsidRDefault="00AA6CF4" w:rsidP="000D5E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931B3" w:rsidRDefault="00AA6CF4" w:rsidP="000D5E4D">
            <w:pPr>
              <w:jc w:val="both"/>
            </w:pPr>
          </w:p>
          <w:p w:rsidR="00A931B3" w:rsidRDefault="00AA6CF4" w:rsidP="000D5E4D">
            <w:pPr>
              <w:jc w:val="both"/>
            </w:pPr>
            <w:r>
              <w:t xml:space="preserve">While C.S.H.B. 1987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D96FD4" w:rsidRDefault="00AA6CF4" w:rsidP="000D5E4D">
            <w:pPr>
              <w:jc w:val="both"/>
            </w:pPr>
          </w:p>
          <w:p w:rsidR="00B5043F" w:rsidRDefault="00AA6CF4" w:rsidP="000D5E4D">
            <w:pPr>
              <w:jc w:val="both"/>
            </w:pPr>
            <w:r>
              <w:t>The substitute does not include provisions that:</w:t>
            </w:r>
          </w:p>
          <w:p w:rsidR="00217BCE" w:rsidRDefault="00AA6CF4" w:rsidP="000D5E4D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require the reporting of </w:t>
            </w:r>
            <w:r w:rsidRPr="00262D47">
              <w:t xml:space="preserve">a court proceeding filed to determine the validity or extent of </w:t>
            </w:r>
            <w:r>
              <w:t>an</w:t>
            </w:r>
            <w:r w:rsidRPr="00262D47">
              <w:t xml:space="preserve"> entity's eminent dom</w:t>
            </w:r>
            <w:r w:rsidRPr="00262D47">
              <w:t>ain authority</w:t>
            </w:r>
            <w:r>
              <w:t xml:space="preserve"> and the outcome of the court proceeding; </w:t>
            </w:r>
          </w:p>
          <w:p w:rsidR="00217BCE" w:rsidRDefault="00AA6CF4" w:rsidP="000D5E4D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require </w:t>
            </w:r>
            <w:r w:rsidRPr="00262D47">
              <w:t xml:space="preserve">the comptroller </w:t>
            </w:r>
            <w:r>
              <w:t>to</w:t>
            </w:r>
            <w:r w:rsidRPr="00262D47">
              <w:t xml:space="preserve"> reflect the entity's challenged eminent domain status by including the entity on a</w:t>
            </w:r>
            <w:r>
              <w:t xml:space="preserve"> separately maintained</w:t>
            </w:r>
            <w:r w:rsidRPr="00262D47">
              <w:t xml:space="preserve"> list of entities with challenged status and in any other manner dete</w:t>
            </w:r>
            <w:r w:rsidRPr="00262D47">
              <w:t xml:space="preserve">rmined appropriate by the </w:t>
            </w:r>
            <w:r>
              <w:t>comptroller; and</w:t>
            </w:r>
          </w:p>
          <w:p w:rsidR="00B5043F" w:rsidRDefault="00AA6CF4" w:rsidP="000D5E4D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require the comptroller to update the information in the eminent domain database ba</w:t>
            </w:r>
            <w:r>
              <w:t>sed on the reported outcome of the</w:t>
            </w:r>
            <w:r>
              <w:t xml:space="preserve"> court proceeding as the comptroller determines appropriate</w:t>
            </w:r>
            <w:r>
              <w:t>.</w:t>
            </w:r>
          </w:p>
          <w:p w:rsidR="00B5043F" w:rsidRDefault="00AA6CF4" w:rsidP="000D5E4D">
            <w:pPr>
              <w:jc w:val="both"/>
            </w:pPr>
          </w:p>
          <w:p w:rsidR="00217BCE" w:rsidRDefault="00AA6CF4" w:rsidP="000D5E4D">
            <w:pPr>
              <w:jc w:val="both"/>
            </w:pPr>
            <w:r>
              <w:t>The substitute includes provisions</w:t>
            </w:r>
            <w:r>
              <w:t xml:space="preserve"> that</w:t>
            </w:r>
            <w:r>
              <w:t xml:space="preserve"> do the following instead</w:t>
            </w:r>
            <w:r>
              <w:t>:</w:t>
            </w:r>
          </w:p>
          <w:p w:rsidR="00217BCE" w:rsidRDefault="00AA6CF4" w:rsidP="000D5E4D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require</w:t>
            </w:r>
            <w:r>
              <w:t xml:space="preserve"> the reporting of a court's finding that </w:t>
            </w:r>
            <w:r w:rsidRPr="00A1598C">
              <w:t>an entity that claimed in a</w:t>
            </w:r>
            <w:r>
              <w:t>n applicable</w:t>
            </w:r>
            <w:r w:rsidRPr="00A1598C">
              <w:t xml:space="preserve"> report submitted to the comptroller to have eminent domain authority </w:t>
            </w:r>
            <w:r>
              <w:t>does not have</w:t>
            </w:r>
            <w:r>
              <w:t xml:space="preserve"> such </w:t>
            </w:r>
            <w:r w:rsidRPr="00A1598C">
              <w:t>authority</w:t>
            </w:r>
            <w:r>
              <w:t>;</w:t>
            </w:r>
            <w:r>
              <w:t xml:space="preserve"> and </w:t>
            </w:r>
          </w:p>
          <w:p w:rsidR="007677EE" w:rsidRDefault="00AA6CF4" w:rsidP="000D5E4D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 xml:space="preserve">require the comptroller to reflect a reported finding </w:t>
            </w:r>
            <w:r>
              <w:t xml:space="preserve">in the eminent domain database by including the entity on a separately maintained </w:t>
            </w:r>
            <w:r>
              <w:t xml:space="preserve">list of </w:t>
            </w:r>
            <w:r w:rsidRPr="00262D47">
              <w:t>entities</w:t>
            </w:r>
            <w:r>
              <w:t xml:space="preserve"> that a court has found do not have eminent domain authority</w:t>
            </w:r>
            <w:r>
              <w:t>.</w:t>
            </w:r>
            <w:r w:rsidRPr="00262D47">
              <w:t xml:space="preserve"> </w:t>
            </w:r>
          </w:p>
          <w:p w:rsidR="00A931B3" w:rsidRPr="00A931B3" w:rsidRDefault="00AA6CF4" w:rsidP="000D5E4D">
            <w:pPr>
              <w:jc w:val="both"/>
            </w:pPr>
          </w:p>
        </w:tc>
      </w:tr>
      <w:tr w:rsidR="00DE615D" w:rsidTr="00345119">
        <w:tc>
          <w:tcPr>
            <w:tcW w:w="9576" w:type="dxa"/>
          </w:tcPr>
          <w:p w:rsidR="00A0436D" w:rsidRPr="009C1E9A" w:rsidRDefault="00AA6CF4" w:rsidP="000D5E4D">
            <w:pPr>
              <w:rPr>
                <w:b/>
                <w:u w:val="single"/>
              </w:rPr>
            </w:pPr>
          </w:p>
        </w:tc>
      </w:tr>
      <w:tr w:rsidR="00DE615D" w:rsidTr="00345119">
        <w:tc>
          <w:tcPr>
            <w:tcW w:w="9576" w:type="dxa"/>
          </w:tcPr>
          <w:p w:rsidR="00A0436D" w:rsidRPr="00A0436D" w:rsidRDefault="00AA6CF4" w:rsidP="000D5E4D">
            <w:pPr>
              <w:jc w:val="both"/>
            </w:pPr>
          </w:p>
        </w:tc>
      </w:tr>
    </w:tbl>
    <w:p w:rsidR="008423E4" w:rsidRPr="00BE0E75" w:rsidRDefault="00AA6C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6CF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6CF4">
      <w:r>
        <w:separator/>
      </w:r>
    </w:p>
  </w:endnote>
  <w:endnote w:type="continuationSeparator" w:id="0">
    <w:p w:rsidR="00000000" w:rsidRDefault="00AA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E615D" w:rsidTr="009C1E9A">
      <w:trPr>
        <w:cantSplit/>
      </w:trPr>
      <w:tc>
        <w:tcPr>
          <w:tcW w:w="0" w:type="pct"/>
        </w:tcPr>
        <w:p w:rsidR="00137D90" w:rsidRDefault="00AA6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6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6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6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6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15D" w:rsidTr="009C1E9A">
      <w:trPr>
        <w:cantSplit/>
      </w:trPr>
      <w:tc>
        <w:tcPr>
          <w:tcW w:w="0" w:type="pct"/>
        </w:tcPr>
        <w:p w:rsidR="00EC379B" w:rsidRDefault="00AA6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6C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31303</w:t>
          </w:r>
        </w:p>
      </w:tc>
      <w:tc>
        <w:tcPr>
          <w:tcW w:w="2453" w:type="pct"/>
        </w:tcPr>
        <w:p w:rsidR="00EC379B" w:rsidRDefault="00AA6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19.122.390</w:t>
          </w:r>
          <w:r>
            <w:fldChar w:fldCharType="end"/>
          </w:r>
        </w:p>
      </w:tc>
    </w:tr>
    <w:tr w:rsidR="00DE615D" w:rsidTr="009C1E9A">
      <w:trPr>
        <w:cantSplit/>
      </w:trPr>
      <w:tc>
        <w:tcPr>
          <w:tcW w:w="0" w:type="pct"/>
        </w:tcPr>
        <w:p w:rsidR="00EC379B" w:rsidRDefault="00AA6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6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20076</w:t>
          </w:r>
        </w:p>
      </w:tc>
      <w:tc>
        <w:tcPr>
          <w:tcW w:w="2453" w:type="pct"/>
        </w:tcPr>
        <w:p w:rsidR="00EC379B" w:rsidRDefault="00AA6CF4" w:rsidP="006D504F">
          <w:pPr>
            <w:pStyle w:val="Footer"/>
            <w:rPr>
              <w:rStyle w:val="PageNumber"/>
            </w:rPr>
          </w:pPr>
        </w:p>
        <w:p w:rsidR="00EC379B" w:rsidRDefault="00AA6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E61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6C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A6C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6C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6CF4">
      <w:r>
        <w:separator/>
      </w:r>
    </w:p>
  </w:footnote>
  <w:footnote w:type="continuationSeparator" w:id="0">
    <w:p w:rsidR="00000000" w:rsidRDefault="00AA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016"/>
    <w:multiLevelType w:val="hybridMultilevel"/>
    <w:tmpl w:val="6CF80444"/>
    <w:lvl w:ilvl="0" w:tplc="F664E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CF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4E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A0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E1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E8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C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C5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8E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665C"/>
    <w:multiLevelType w:val="hybridMultilevel"/>
    <w:tmpl w:val="6840DE2E"/>
    <w:lvl w:ilvl="0" w:tplc="3C9C9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64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EA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23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A9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84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63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25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6FBB"/>
    <w:multiLevelType w:val="hybridMultilevel"/>
    <w:tmpl w:val="40E63DFA"/>
    <w:lvl w:ilvl="0" w:tplc="02A26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40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28C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C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1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68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EF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6C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0D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5D"/>
    <w:rsid w:val="00AA6CF4"/>
    <w:rsid w:val="00D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36F3CC-241E-4D30-95B6-9FA70B70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64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4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419"/>
    <w:rPr>
      <w:b/>
      <w:bCs/>
    </w:rPr>
  </w:style>
  <w:style w:type="paragraph" w:styleId="ListParagraph">
    <w:name w:val="List Paragraph"/>
    <w:basedOn w:val="Normal"/>
    <w:uiPriority w:val="34"/>
    <w:qFormat/>
    <w:rsid w:val="00D6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2668</Characters>
  <Application>Microsoft Office Word</Application>
  <DocSecurity>4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HB01987 (Committee Report (Substituted))</vt:lpstr>
    </vt:vector>
  </TitlesOfParts>
  <Company>State of Texas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31303</dc:subject>
  <dc:creator>State of Texas</dc:creator>
  <dc:description>HB 1987 by Leman-(H)Land &amp; Resource Management (Substitute Document Number: 86R 20076)</dc:description>
  <cp:lastModifiedBy>Scotty Wimberley</cp:lastModifiedBy>
  <cp:revision>2</cp:revision>
  <cp:lastPrinted>2019-02-26T16:42:00Z</cp:lastPrinted>
  <dcterms:created xsi:type="dcterms:W3CDTF">2019-05-06T15:40:00Z</dcterms:created>
  <dcterms:modified xsi:type="dcterms:W3CDTF">2019-05-06T15:40:00Z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19.122.390</vt:lpwstr>
  </property>
</Properties>
</file>