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0933" w:rsidTr="00345119">
        <w:tc>
          <w:tcPr>
            <w:tcW w:w="9576" w:type="dxa"/>
            <w:noWrap/>
          </w:tcPr>
          <w:p w:rsidR="008423E4" w:rsidRPr="0022177D" w:rsidRDefault="008F2B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2B6D" w:rsidP="008423E4">
      <w:pPr>
        <w:jc w:val="center"/>
      </w:pPr>
    </w:p>
    <w:p w:rsidR="008423E4" w:rsidRPr="00B31F0E" w:rsidRDefault="008F2B6D" w:rsidP="008423E4"/>
    <w:p w:rsidR="008423E4" w:rsidRPr="00742794" w:rsidRDefault="008F2B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0933" w:rsidTr="00345119">
        <w:tc>
          <w:tcPr>
            <w:tcW w:w="9576" w:type="dxa"/>
          </w:tcPr>
          <w:p w:rsidR="008423E4" w:rsidRPr="00861995" w:rsidRDefault="008F2B6D" w:rsidP="00345119">
            <w:pPr>
              <w:jc w:val="right"/>
            </w:pPr>
            <w:r>
              <w:t>C.S.H.B. 1999</w:t>
            </w:r>
          </w:p>
        </w:tc>
      </w:tr>
      <w:tr w:rsidR="004A0933" w:rsidTr="00345119">
        <w:tc>
          <w:tcPr>
            <w:tcW w:w="9576" w:type="dxa"/>
          </w:tcPr>
          <w:p w:rsidR="008423E4" w:rsidRPr="00861995" w:rsidRDefault="008F2B6D" w:rsidP="00BE6E2D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4A0933" w:rsidTr="00345119">
        <w:tc>
          <w:tcPr>
            <w:tcW w:w="9576" w:type="dxa"/>
          </w:tcPr>
          <w:p w:rsidR="008423E4" w:rsidRPr="00861995" w:rsidRDefault="008F2B6D" w:rsidP="00345119">
            <w:pPr>
              <w:jc w:val="right"/>
            </w:pPr>
            <w:r>
              <w:t>Judiciary &amp; Civil Jurisprudence</w:t>
            </w:r>
          </w:p>
        </w:tc>
      </w:tr>
      <w:tr w:rsidR="004A0933" w:rsidTr="00345119">
        <w:tc>
          <w:tcPr>
            <w:tcW w:w="9576" w:type="dxa"/>
          </w:tcPr>
          <w:p w:rsidR="008423E4" w:rsidRDefault="008F2B6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2B6D" w:rsidP="008423E4">
      <w:pPr>
        <w:tabs>
          <w:tab w:val="right" w:pos="9360"/>
        </w:tabs>
      </w:pPr>
    </w:p>
    <w:p w:rsidR="008423E4" w:rsidRDefault="008F2B6D" w:rsidP="008423E4"/>
    <w:p w:rsidR="008423E4" w:rsidRDefault="008F2B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0933" w:rsidTr="00345119">
        <w:tc>
          <w:tcPr>
            <w:tcW w:w="9576" w:type="dxa"/>
          </w:tcPr>
          <w:p w:rsidR="008423E4" w:rsidRPr="00A8133F" w:rsidRDefault="008F2B6D" w:rsidP="00B5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2B6D" w:rsidP="00B57828"/>
          <w:p w:rsidR="008423E4" w:rsidRDefault="008F2B6D" w:rsidP="00B5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</w:t>
            </w:r>
            <w:r>
              <w:t xml:space="preserve"> </w:t>
            </w:r>
            <w:r>
              <w:t>certain</w:t>
            </w:r>
            <w:r w:rsidRPr="002762F0">
              <w:t xml:space="preserve"> local governmental entities</w:t>
            </w:r>
            <w:r>
              <w:t>, such as school districts, have been solicited to</w:t>
            </w:r>
            <w:r w:rsidRPr="002762F0">
              <w:t xml:space="preserve"> sue architects, engineers, and contractors for alleged construction defects in buildings</w:t>
            </w:r>
            <w:r>
              <w:t xml:space="preserve"> </w:t>
            </w:r>
            <w:r w:rsidRPr="002762F0">
              <w:t xml:space="preserve">before notifying the architects, engineers, and contractors of the alleged defects or offering a chance to inspect or </w:t>
            </w:r>
            <w:r>
              <w:t>correct</w:t>
            </w:r>
            <w:r w:rsidRPr="002762F0">
              <w:t xml:space="preserve"> </w:t>
            </w:r>
            <w:r w:rsidRPr="002762F0">
              <w:t xml:space="preserve">them. </w:t>
            </w:r>
            <w:r>
              <w:t>C.S.H.B.</w:t>
            </w:r>
            <w:r>
              <w:t xml:space="preserve"> 1999 seeks to </w:t>
            </w:r>
            <w:r>
              <w:t>address the</w:t>
            </w:r>
            <w:r>
              <w:t>se situations</w:t>
            </w:r>
            <w:r>
              <w:t xml:space="preserve"> by requiring </w:t>
            </w:r>
            <w:r w:rsidRPr="00995E53">
              <w:t xml:space="preserve">an applicable governmental entity </w:t>
            </w:r>
            <w:r>
              <w:t xml:space="preserve">to </w:t>
            </w:r>
            <w:r>
              <w:t xml:space="preserve">notify </w:t>
            </w:r>
            <w:r>
              <w:t xml:space="preserve">each party with whom the entity contracted for the design or construction of a </w:t>
            </w:r>
            <w:r>
              <w:t xml:space="preserve">building </w:t>
            </w:r>
            <w:r>
              <w:t xml:space="preserve">with an alleged defect </w:t>
            </w:r>
            <w:r w:rsidRPr="00995E53">
              <w:t>a</w:t>
            </w:r>
            <w:r>
              <w:t xml:space="preserve">nd to provide </w:t>
            </w:r>
            <w:r>
              <w:t xml:space="preserve">a chance to correct </w:t>
            </w:r>
            <w:r>
              <w:t>any</w:t>
            </w:r>
            <w:r>
              <w:t xml:space="preserve"> defect </w:t>
            </w:r>
            <w:r>
              <w:t>before bringing any claim fo</w:t>
            </w:r>
            <w:r>
              <w:t>r damages</w:t>
            </w:r>
            <w:r w:rsidRPr="002762F0">
              <w:t xml:space="preserve">. </w:t>
            </w:r>
          </w:p>
          <w:p w:rsidR="008423E4" w:rsidRPr="00E26B13" w:rsidRDefault="008F2B6D" w:rsidP="00B57828">
            <w:pPr>
              <w:rPr>
                <w:b/>
              </w:rPr>
            </w:pPr>
          </w:p>
        </w:tc>
      </w:tr>
      <w:tr w:rsidR="004A0933" w:rsidTr="00345119">
        <w:tc>
          <w:tcPr>
            <w:tcW w:w="9576" w:type="dxa"/>
          </w:tcPr>
          <w:p w:rsidR="0017725B" w:rsidRDefault="008F2B6D" w:rsidP="00B578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2B6D" w:rsidP="00B57828">
            <w:pPr>
              <w:rPr>
                <w:b/>
                <w:u w:val="single"/>
              </w:rPr>
            </w:pPr>
          </w:p>
          <w:p w:rsidR="004238E3" w:rsidRPr="004238E3" w:rsidRDefault="008F2B6D" w:rsidP="00B5782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8F2B6D" w:rsidP="00B57828">
            <w:pPr>
              <w:rPr>
                <w:b/>
                <w:u w:val="single"/>
              </w:rPr>
            </w:pPr>
          </w:p>
        </w:tc>
      </w:tr>
      <w:tr w:rsidR="004A0933" w:rsidTr="00345119">
        <w:tc>
          <w:tcPr>
            <w:tcW w:w="9576" w:type="dxa"/>
          </w:tcPr>
          <w:p w:rsidR="008423E4" w:rsidRPr="00A8133F" w:rsidRDefault="008F2B6D" w:rsidP="00B5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2B6D" w:rsidP="00B57828"/>
          <w:p w:rsidR="004238E3" w:rsidRDefault="008F2B6D" w:rsidP="00B5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F2B6D" w:rsidP="00B57828">
            <w:pPr>
              <w:rPr>
                <w:b/>
              </w:rPr>
            </w:pPr>
          </w:p>
        </w:tc>
      </w:tr>
      <w:tr w:rsidR="004A0933" w:rsidTr="00345119">
        <w:tc>
          <w:tcPr>
            <w:tcW w:w="9576" w:type="dxa"/>
          </w:tcPr>
          <w:p w:rsidR="008423E4" w:rsidRPr="00A8133F" w:rsidRDefault="008F2B6D" w:rsidP="00B5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2B6D" w:rsidP="00B57828"/>
          <w:p w:rsidR="008423E4" w:rsidRDefault="008F2B6D" w:rsidP="00B57828">
            <w:pPr>
              <w:pStyle w:val="Header"/>
              <w:jc w:val="both"/>
            </w:pPr>
            <w:r>
              <w:t>C.S.H.B.</w:t>
            </w:r>
            <w:r>
              <w:t xml:space="preserve"> 1999 amends the Government Code to require a</w:t>
            </w:r>
            <w:r>
              <w:t>n applicable</w:t>
            </w:r>
            <w:r>
              <w:t xml:space="preserve"> governmental entity</w:t>
            </w:r>
            <w:r>
              <w:t xml:space="preserve"> </w:t>
            </w:r>
            <w:r w:rsidRPr="00F5061D">
              <w:t xml:space="preserve">with an interest in </w:t>
            </w:r>
            <w:r>
              <w:t>a</w:t>
            </w:r>
            <w:r w:rsidRPr="00F5061D">
              <w:t xml:space="preserve"> public building or public work affected by </w:t>
            </w:r>
            <w:r>
              <w:t>an</w:t>
            </w:r>
            <w:r w:rsidRPr="00F5061D">
              <w:t xml:space="preserve"> alleged construction defect</w:t>
            </w:r>
            <w:r>
              <w:t>,</w:t>
            </w:r>
            <w:r>
              <w:t xml:space="preserve"> before </w:t>
            </w:r>
            <w:r w:rsidRPr="00A50314">
              <w:t>bringing an action asserting a claim</w:t>
            </w:r>
            <w:r>
              <w:t xml:space="preserve"> </w:t>
            </w:r>
            <w:r w:rsidRPr="00977CFE">
              <w:t>against a contractor, subcon</w:t>
            </w:r>
            <w:r w:rsidRPr="00977CFE">
              <w:t xml:space="preserve">tractor, supplier, </w:t>
            </w:r>
            <w:r>
              <w:t>a registered</w:t>
            </w:r>
            <w:r>
              <w:t xml:space="preserve"> architect, or </w:t>
            </w:r>
            <w:r>
              <w:t xml:space="preserve">a </w:t>
            </w:r>
            <w:r>
              <w:t>licensed</w:t>
            </w:r>
            <w:r>
              <w:t xml:space="preserve"> engineer </w:t>
            </w:r>
            <w:r>
              <w:t>for damages</w:t>
            </w:r>
            <w:r>
              <w:t xml:space="preserve"> or </w:t>
            </w:r>
            <w:r>
              <w:t xml:space="preserve">indemnity or contribution </w:t>
            </w:r>
            <w:r>
              <w:t xml:space="preserve">for damages </w:t>
            </w:r>
            <w:r>
              <w:t xml:space="preserve">arising from </w:t>
            </w:r>
            <w:r>
              <w:t xml:space="preserve">property </w:t>
            </w:r>
            <w:r>
              <w:t xml:space="preserve">damage or loss caused by </w:t>
            </w:r>
            <w:r>
              <w:t>the</w:t>
            </w:r>
            <w:r>
              <w:t xml:space="preserve"> alleged defect in an improvement to </w:t>
            </w:r>
            <w:r>
              <w:t>the</w:t>
            </w:r>
            <w:r>
              <w:t xml:space="preserve"> public building or public work</w:t>
            </w:r>
            <w:r>
              <w:t>,</w:t>
            </w:r>
            <w:r>
              <w:t xml:space="preserve"> to </w:t>
            </w:r>
            <w:r>
              <w:t xml:space="preserve">provide </w:t>
            </w:r>
            <w:r>
              <w:t>each party with whom the governmental entity has a contract for the design or construction of an affected structure a written report by certified mail, return receipt requested, that contains specified information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 xml:space="preserve">any </w:t>
            </w:r>
            <w:r w:rsidRPr="004E4D30">
              <w:t xml:space="preserve">damages awarded to </w:t>
            </w:r>
            <w:r w:rsidRPr="004E4D30">
              <w:t>the governmental entity against the party responsible for</w:t>
            </w:r>
            <w:r>
              <w:t xml:space="preserve"> a construction defect </w:t>
            </w:r>
            <w:r>
              <w:t xml:space="preserve">for which the entity recovers damages </w:t>
            </w:r>
            <w:r>
              <w:t xml:space="preserve">and </w:t>
            </w:r>
            <w:r>
              <w:t>identified</w:t>
            </w:r>
            <w:r>
              <w:t xml:space="preserve"> </w:t>
            </w:r>
            <w:r>
              <w:t xml:space="preserve">by </w:t>
            </w:r>
            <w:r>
              <w:t>an applicable</w:t>
            </w:r>
            <w:r>
              <w:t xml:space="preserve"> report </w:t>
            </w:r>
            <w:r>
              <w:t xml:space="preserve">to </w:t>
            </w:r>
            <w:r w:rsidRPr="004E4D30">
              <w:t xml:space="preserve">include </w:t>
            </w:r>
            <w:r>
              <w:t xml:space="preserve">reasonable </w:t>
            </w:r>
            <w:r w:rsidRPr="004E4D30">
              <w:t xml:space="preserve">amounts paid by the entity to obtain the </w:t>
            </w:r>
            <w:r>
              <w:t xml:space="preserve">related </w:t>
            </w:r>
            <w:r w:rsidRPr="004E4D30">
              <w:t>report.</w:t>
            </w:r>
            <w:r>
              <w:t xml:space="preserve"> The bill defines </w:t>
            </w:r>
            <w:r>
              <w:t>"</w:t>
            </w:r>
            <w:r>
              <w:t>ac</w:t>
            </w:r>
            <w:r>
              <w:t>tion</w:t>
            </w:r>
            <w:r>
              <w:t>"</w:t>
            </w:r>
            <w:r>
              <w:t xml:space="preserve"> to mean a court or judicial proceeding or an arbitration and to exclude an administrative action.</w:t>
            </w:r>
          </w:p>
          <w:p w:rsidR="00367DF3" w:rsidRDefault="008F2B6D" w:rsidP="00B57828">
            <w:pPr>
              <w:pStyle w:val="Header"/>
              <w:jc w:val="both"/>
            </w:pPr>
          </w:p>
          <w:p w:rsidR="00367DF3" w:rsidRDefault="008F2B6D" w:rsidP="00B57828">
            <w:pPr>
              <w:pStyle w:val="Header"/>
              <w:jc w:val="both"/>
            </w:pPr>
            <w:r>
              <w:t>C.S.H.B.</w:t>
            </w:r>
            <w:r w:rsidRPr="0045730F">
              <w:t xml:space="preserve"> 1999 </w:t>
            </w:r>
            <w:r>
              <w:t xml:space="preserve">requires </w:t>
            </w:r>
            <w:r>
              <w:t xml:space="preserve">the </w:t>
            </w:r>
            <w:r>
              <w:t xml:space="preserve">insurer </w:t>
            </w:r>
            <w:r>
              <w:t xml:space="preserve">to </w:t>
            </w:r>
            <w:r>
              <w:t>who</w:t>
            </w:r>
            <w:r>
              <w:t>m</w:t>
            </w:r>
            <w:r w:rsidRPr="004E4D30">
              <w:t xml:space="preserve"> </w:t>
            </w:r>
            <w:r>
              <w:t xml:space="preserve">the party </w:t>
            </w:r>
            <w:r w:rsidRPr="004E4D30">
              <w:t>provide</w:t>
            </w:r>
            <w:r>
              <w:t>s</w:t>
            </w:r>
            <w:r w:rsidRPr="004E4D30">
              <w:t xml:space="preserve"> </w:t>
            </w:r>
            <w:r>
              <w:t>the</w:t>
            </w:r>
            <w:r w:rsidRPr="004E4D30">
              <w:t xml:space="preserve"> written notice of an alleged construction defect or a</w:t>
            </w:r>
            <w:r>
              <w:t xml:space="preserve"> </w:t>
            </w:r>
            <w:r w:rsidRPr="004E4D30">
              <w:t>report</w:t>
            </w:r>
            <w:r>
              <w:t xml:space="preserve"> </w:t>
            </w:r>
            <w:r w:rsidRPr="004E4D30">
              <w:t>identifying a constructi</w:t>
            </w:r>
            <w:r w:rsidRPr="004E4D30">
              <w:t xml:space="preserve">on defect </w:t>
            </w:r>
            <w:r>
              <w:t xml:space="preserve">received by the party in connection with a potential claim against the party </w:t>
            </w:r>
            <w:r>
              <w:t xml:space="preserve">to </w:t>
            </w:r>
            <w:r w:rsidRPr="0045730F">
              <w:t>treat the provision of the notice or report to the party as the filing of a suit asserting that claim against the party for purposes of the relevant policy terms.</w:t>
            </w:r>
            <w:r>
              <w:t xml:space="preserve"> Thi</w:t>
            </w:r>
            <w:r>
              <w:t xml:space="preserve">s provision applies only </w:t>
            </w:r>
            <w:r w:rsidRPr="0045730F">
              <w:t>to an insurance policy delivered, issued for delivery, or renewed on or after January 1, 2020.</w:t>
            </w:r>
          </w:p>
          <w:p w:rsidR="005A7F1C" w:rsidRDefault="008F2B6D" w:rsidP="00B57828">
            <w:pPr>
              <w:pStyle w:val="Header"/>
              <w:jc w:val="both"/>
            </w:pPr>
          </w:p>
          <w:p w:rsidR="00A068E0" w:rsidRDefault="008F2B6D" w:rsidP="00B57828">
            <w:pPr>
              <w:pStyle w:val="Header"/>
              <w:jc w:val="both"/>
            </w:pPr>
            <w:r>
              <w:t>C.S.H.B.</w:t>
            </w:r>
            <w:r w:rsidRPr="004449BF">
              <w:t xml:space="preserve"> 1999 </w:t>
            </w:r>
            <w:r>
              <w:t xml:space="preserve">provides for a party's opportunity </w:t>
            </w:r>
            <w:r w:rsidRPr="00F5061D">
              <w:t xml:space="preserve">to inspect and correct </w:t>
            </w:r>
            <w:r>
              <w:t>or enter into a separate agreement with the governmental entity</w:t>
            </w:r>
            <w:r>
              <w:t xml:space="preserve"> to correct </w:t>
            </w:r>
            <w:r w:rsidRPr="00F5061D">
              <w:t>any construction defect or related condition identified in the report</w:t>
            </w:r>
            <w:r>
              <w:t xml:space="preserve"> before the governmental entity brings the action</w:t>
            </w:r>
            <w:r>
              <w:t>. The bill</w:t>
            </w:r>
            <w:r>
              <w:t xml:space="preserve"> provides for the tolling of the limitations period applicable to the claim</w:t>
            </w:r>
            <w:r>
              <w:t xml:space="preserve"> when </w:t>
            </w:r>
            <w:r w:rsidRPr="004449BF">
              <w:t xml:space="preserve">the </w:t>
            </w:r>
            <w:r>
              <w:t xml:space="preserve">report and opportunity to </w:t>
            </w:r>
            <w:r>
              <w:t>correct are</w:t>
            </w:r>
            <w:r w:rsidRPr="004449BF">
              <w:t xml:space="preserve"> provided during the final year of the limitations period.</w:t>
            </w:r>
            <w:r>
              <w:t xml:space="preserve"> </w:t>
            </w:r>
            <w:r>
              <w:t xml:space="preserve">The bill </w:t>
            </w:r>
            <w:r>
              <w:t xml:space="preserve">requires </w:t>
            </w:r>
            <w:r>
              <w:t>the</w:t>
            </w:r>
            <w:r>
              <w:t xml:space="preserve"> </w:t>
            </w:r>
            <w:r w:rsidRPr="004449BF">
              <w:t>adjudicating authority</w:t>
            </w:r>
            <w:r>
              <w:t xml:space="preserve"> to which</w:t>
            </w:r>
            <w:r>
              <w:t xml:space="preserve"> a </w:t>
            </w:r>
            <w:r w:rsidRPr="004449BF">
              <w:t>governmental entity brings an action asserting a claim without complying</w:t>
            </w:r>
            <w:r>
              <w:t xml:space="preserve"> with the</w:t>
            </w:r>
            <w:r>
              <w:t xml:space="preserve"> </w:t>
            </w:r>
            <w:r>
              <w:t>report</w:t>
            </w:r>
            <w:r>
              <w:t>ing,</w:t>
            </w:r>
            <w:r>
              <w:t xml:space="preserve"> inspection,</w:t>
            </w:r>
            <w:r>
              <w:t xml:space="preserve"> and correct</w:t>
            </w:r>
            <w:r>
              <w:t>ion</w:t>
            </w:r>
            <w:r>
              <w:t xml:space="preserve"> opportunit</w:t>
            </w:r>
            <w:r>
              <w:t>y</w:t>
            </w:r>
            <w:r>
              <w:t xml:space="preserve"> </w:t>
            </w:r>
            <w:r>
              <w:t>requirements</w:t>
            </w:r>
            <w:r>
              <w:t xml:space="preserve"> to </w:t>
            </w:r>
            <w:r>
              <w:t>dismiss the action</w:t>
            </w:r>
            <w:r>
              <w:t xml:space="preserve"> without prejudice</w:t>
            </w:r>
            <w:r>
              <w:t>.</w:t>
            </w:r>
            <w:r w:rsidRPr="00C266AF">
              <w:t xml:space="preserve"> </w:t>
            </w:r>
            <w:r>
              <w:t xml:space="preserve">The bill requires the adjudicating authority, if </w:t>
            </w:r>
            <w:r>
              <w:t xml:space="preserve">such </w:t>
            </w:r>
            <w:r>
              <w:t>an action is dismissed and the governmental entity brings a second action</w:t>
            </w:r>
            <w:r>
              <w:t xml:space="preserve"> asserting a claim</w:t>
            </w:r>
            <w:r>
              <w:t xml:space="preserve"> without complying with those requirements, to dismiss </w:t>
            </w:r>
            <w:r>
              <w:t>the action with prejudice.</w:t>
            </w:r>
            <w:r>
              <w:t xml:space="preserve"> </w:t>
            </w:r>
          </w:p>
          <w:p w:rsidR="00A068E0" w:rsidRDefault="008F2B6D" w:rsidP="00B57828">
            <w:pPr>
              <w:pStyle w:val="Header"/>
              <w:jc w:val="both"/>
            </w:pPr>
          </w:p>
          <w:p w:rsidR="00C40802" w:rsidRDefault="008F2B6D" w:rsidP="00B57828">
            <w:pPr>
              <w:pStyle w:val="Header"/>
              <w:jc w:val="both"/>
            </w:pPr>
            <w:r>
              <w:t>C.S.H.B.</w:t>
            </w:r>
            <w:r>
              <w:t xml:space="preserve"> 1999</w:t>
            </w:r>
            <w:r>
              <w:t xml:space="preserve"> expressly does not </w:t>
            </w:r>
            <w:r w:rsidRPr="004E4D30">
              <w:t>prohibit or limit a governmental entity from making emergency repairs to the</w:t>
            </w:r>
            <w:r>
              <w:t xml:space="preserve"> applicable</w:t>
            </w:r>
            <w:r w:rsidRPr="004E4D30">
              <w:t xml:space="preserve"> property as necessary to protect the health, safety, and welfare of the public or a building occupant.</w:t>
            </w:r>
            <w:r>
              <w:t xml:space="preserve"> </w:t>
            </w:r>
            <w:r>
              <w:t>The</w:t>
            </w:r>
            <w:r>
              <w:t xml:space="preserve"> bill</w:t>
            </w:r>
            <w:r>
              <w:t>'</w:t>
            </w:r>
            <w:r>
              <w:t>s provisions do not apply</w:t>
            </w:r>
            <w:r>
              <w:t xml:space="preserve"> to</w:t>
            </w:r>
            <w:r>
              <w:t xml:space="preserve"> </w:t>
            </w:r>
            <w:r>
              <w:t>the following:</w:t>
            </w:r>
          </w:p>
          <w:p w:rsidR="00C40802" w:rsidRDefault="008F2B6D" w:rsidP="00B57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claim for personal injury, survival, or wrongful death;</w:t>
            </w:r>
          </w:p>
          <w:p w:rsidR="00C40802" w:rsidRDefault="008F2B6D" w:rsidP="00B57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claim involving the construction of residential property covered under Property Code provisions relating to </w:t>
            </w:r>
            <w:r w:rsidRPr="00977CFE">
              <w:t>residential construction liability</w:t>
            </w:r>
            <w:r>
              <w:t>;</w:t>
            </w:r>
          </w:p>
          <w:p w:rsidR="00C40802" w:rsidRDefault="008F2B6D" w:rsidP="00B57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>contract entered into by the Texas Department of Transportation;</w:t>
            </w:r>
          </w:p>
          <w:p w:rsidR="00664DCC" w:rsidRDefault="008F2B6D" w:rsidP="00B5782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77CFE">
              <w:t>a project that receives money from a state or federal highway fund</w:t>
            </w:r>
            <w:r>
              <w:t>; or</w:t>
            </w:r>
          </w:p>
          <w:p w:rsidR="0045730F" w:rsidRDefault="008F2B6D" w:rsidP="00BD053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certain civil works projects</w:t>
            </w:r>
            <w:r w:rsidRPr="00977CFE">
              <w:t>.</w:t>
            </w:r>
          </w:p>
          <w:p w:rsidR="008423E4" w:rsidRPr="00835628" w:rsidRDefault="008F2B6D" w:rsidP="00B57828">
            <w:pPr>
              <w:pStyle w:val="Header"/>
              <w:jc w:val="both"/>
              <w:rPr>
                <w:b/>
              </w:rPr>
            </w:pPr>
          </w:p>
        </w:tc>
      </w:tr>
      <w:tr w:rsidR="004A0933" w:rsidTr="00345119">
        <w:tc>
          <w:tcPr>
            <w:tcW w:w="9576" w:type="dxa"/>
          </w:tcPr>
          <w:p w:rsidR="008423E4" w:rsidRPr="00A8133F" w:rsidRDefault="008F2B6D" w:rsidP="00B578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2B6D" w:rsidP="00B57828"/>
          <w:p w:rsidR="008423E4" w:rsidRPr="003624F2" w:rsidRDefault="008F2B6D" w:rsidP="00B578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8F2B6D" w:rsidP="00B57828">
            <w:pPr>
              <w:rPr>
                <w:b/>
              </w:rPr>
            </w:pPr>
          </w:p>
        </w:tc>
      </w:tr>
      <w:tr w:rsidR="004A0933" w:rsidTr="00345119">
        <w:tc>
          <w:tcPr>
            <w:tcW w:w="9576" w:type="dxa"/>
          </w:tcPr>
          <w:p w:rsidR="00BE6E2D" w:rsidRDefault="008F2B6D" w:rsidP="00B578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11950" w:rsidRDefault="008F2B6D" w:rsidP="00B57828">
            <w:pPr>
              <w:jc w:val="both"/>
            </w:pPr>
          </w:p>
          <w:p w:rsidR="00411950" w:rsidRDefault="008F2B6D" w:rsidP="00B57828">
            <w:pPr>
              <w:jc w:val="both"/>
            </w:pPr>
            <w:r>
              <w:t>While C.S.H.B. 1999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:rsidR="009E2047" w:rsidRDefault="008F2B6D" w:rsidP="00B57828">
            <w:pPr>
              <w:jc w:val="both"/>
            </w:pPr>
          </w:p>
          <w:p w:rsidR="00143159" w:rsidRDefault="008F2B6D" w:rsidP="00B57828">
            <w:pPr>
              <w:jc w:val="both"/>
            </w:pPr>
            <w:r>
              <w:t xml:space="preserve">The </w:t>
            </w:r>
            <w:r w:rsidRPr="009E2047">
              <w:t xml:space="preserve">substitute </w:t>
            </w:r>
            <w:r>
              <w:t xml:space="preserve">changes the applicability of the bill's provisions by: </w:t>
            </w:r>
          </w:p>
          <w:p w:rsidR="00143159" w:rsidRDefault="008F2B6D" w:rsidP="00B5782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including claims for contributions for specified damages; and</w:t>
            </w:r>
          </w:p>
          <w:p w:rsidR="009E2047" w:rsidRDefault="008F2B6D" w:rsidP="00BD053F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excluding certain civil works projects.</w:t>
            </w:r>
          </w:p>
          <w:p w:rsidR="0066226E" w:rsidRDefault="008F2B6D" w:rsidP="00B57828">
            <w:pPr>
              <w:jc w:val="both"/>
            </w:pPr>
          </w:p>
          <w:p w:rsidR="00993D12" w:rsidRDefault="008F2B6D" w:rsidP="00B57828">
            <w:pPr>
              <w:jc w:val="both"/>
            </w:pPr>
            <w:r>
              <w:t>The substitute does</w:t>
            </w:r>
            <w:r>
              <w:t xml:space="preserve"> not include a provision requiring a governmental entity, before bringing an action asserting a claim, to obtain an independent third</w:t>
            </w:r>
            <w:r>
              <w:noBreakHyphen/>
              <w:t>party inspection and</w:t>
            </w:r>
            <w:r>
              <w:t xml:space="preserve"> written</w:t>
            </w:r>
            <w:r>
              <w:t xml:space="preserve"> report of the </w:t>
            </w:r>
            <w:r>
              <w:t xml:space="preserve">affected structure </w:t>
            </w:r>
            <w:r>
              <w:t>or a provision requiring the entity to provide written notic</w:t>
            </w:r>
            <w:r>
              <w:t xml:space="preserve">e relating to the inspection. </w:t>
            </w:r>
            <w:r>
              <w:t xml:space="preserve">The substitute includes a provision requiring </w:t>
            </w:r>
            <w:r>
              <w:t xml:space="preserve">instead </w:t>
            </w:r>
            <w:r>
              <w:t>a governmental</w:t>
            </w:r>
            <w:r>
              <w:t xml:space="preserve"> entity</w:t>
            </w:r>
            <w:r>
              <w:t xml:space="preserve">, before bringing an action asserting a claim, to provide each </w:t>
            </w:r>
            <w:r>
              <w:t xml:space="preserve">applicable </w:t>
            </w:r>
            <w:r>
              <w:t xml:space="preserve">party with whom the entity has a design or construction contract </w:t>
            </w:r>
            <w:r>
              <w:t xml:space="preserve">for </w:t>
            </w:r>
            <w:r>
              <w:t>an affec</w:t>
            </w:r>
            <w:r>
              <w:t>ted structure</w:t>
            </w:r>
            <w:r>
              <w:t xml:space="preserve"> a written report</w:t>
            </w:r>
            <w:r>
              <w:t xml:space="preserve"> relating to the construction defect and the affected structure</w:t>
            </w:r>
            <w:r>
              <w:t xml:space="preserve">. </w:t>
            </w:r>
          </w:p>
          <w:p w:rsidR="00960D03" w:rsidRDefault="008F2B6D" w:rsidP="00B57828">
            <w:pPr>
              <w:jc w:val="both"/>
            </w:pPr>
          </w:p>
          <w:p w:rsidR="001245FD" w:rsidRDefault="008F2B6D" w:rsidP="00B57828">
            <w:pPr>
              <w:jc w:val="both"/>
            </w:pPr>
            <w:r>
              <w:t xml:space="preserve">The substitute </w:t>
            </w:r>
            <w:r>
              <w:t>revises</w:t>
            </w:r>
            <w:r>
              <w:t xml:space="preserve"> provisions requiring a governmental entity to </w:t>
            </w:r>
            <w:r>
              <w:t>allow</w:t>
            </w:r>
            <w:r>
              <w:t xml:space="preserve"> </w:t>
            </w:r>
            <w:r w:rsidRPr="006E5AFD">
              <w:t>inspection</w:t>
            </w:r>
            <w:r>
              <w:t xml:space="preserve"> and correction opportunities</w:t>
            </w:r>
            <w:r w:rsidRPr="006E5AFD">
              <w:t xml:space="preserve"> </w:t>
            </w:r>
            <w:r>
              <w:t>before bringing an action asserting a claim</w:t>
            </w:r>
            <w:r>
              <w:t xml:space="preserve"> by</w:t>
            </w:r>
            <w:r>
              <w:t>:</w:t>
            </w:r>
            <w:r>
              <w:t xml:space="preserve"> </w:t>
            </w:r>
          </w:p>
          <w:p w:rsidR="00676203" w:rsidRDefault="008F2B6D" w:rsidP="00B5782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changing</w:t>
            </w:r>
            <w:r>
              <w:t xml:space="preserve"> certain deadlines</w:t>
            </w:r>
            <w:r>
              <w:t>;</w:t>
            </w:r>
          </w:p>
          <w:p w:rsidR="001245FD" w:rsidRDefault="008F2B6D" w:rsidP="00B57828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including any known subcontractor or suppliers subject to the claim among the parties who must be allowed </w:t>
            </w:r>
            <w:r>
              <w:t xml:space="preserve">an </w:t>
            </w:r>
            <w:r>
              <w:t>inspection and correction opportunity; and</w:t>
            </w:r>
          </w:p>
          <w:p w:rsidR="001245FD" w:rsidRDefault="008F2B6D" w:rsidP="00BD053F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giving parties subject to the claim the option of entering into a sepa</w:t>
            </w:r>
            <w:r>
              <w:t xml:space="preserve">rate agreement with the governmental entity as an alternative to </w:t>
            </w:r>
            <w:r>
              <w:t>correcting any construction defect or related condition identified in the report</w:t>
            </w:r>
            <w:r>
              <w:t xml:space="preserve"> after </w:t>
            </w:r>
            <w:r>
              <w:t>conducting an inspection</w:t>
            </w:r>
            <w:r>
              <w:t>.</w:t>
            </w:r>
            <w:r>
              <w:t xml:space="preserve"> </w:t>
            </w:r>
          </w:p>
          <w:p w:rsidR="001245FD" w:rsidRDefault="008F2B6D" w:rsidP="00B57828">
            <w:pPr>
              <w:jc w:val="both"/>
            </w:pPr>
          </w:p>
          <w:p w:rsidR="00960D03" w:rsidRDefault="008F2B6D" w:rsidP="00B57828">
            <w:pPr>
              <w:jc w:val="both"/>
            </w:pPr>
            <w:r>
              <w:t xml:space="preserve">The substitute changes the conditions </w:t>
            </w:r>
            <w:r>
              <w:t xml:space="preserve">that trigger </w:t>
            </w:r>
            <w:r>
              <w:t>the tolling of the limita</w:t>
            </w:r>
            <w:r>
              <w:t xml:space="preserve">tions period </w:t>
            </w:r>
            <w:r>
              <w:t xml:space="preserve">for </w:t>
            </w:r>
            <w:r>
              <w:t xml:space="preserve">a </w:t>
            </w:r>
            <w:r>
              <w:t>claim.</w:t>
            </w:r>
          </w:p>
          <w:p w:rsidR="00F41516" w:rsidRDefault="008F2B6D" w:rsidP="00B57828">
            <w:pPr>
              <w:jc w:val="both"/>
            </w:pPr>
          </w:p>
          <w:p w:rsidR="00A23BB5" w:rsidRDefault="008F2B6D" w:rsidP="00B57828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 xml:space="preserve">adjudicatory </w:t>
            </w:r>
            <w:r>
              <w:t>consequences for a governmental entity that brings an</w:t>
            </w:r>
            <w:r>
              <w:t xml:space="preserve"> action </w:t>
            </w:r>
            <w:r w:rsidRPr="00A23BB5">
              <w:t xml:space="preserve">without complying </w:t>
            </w:r>
            <w:r>
              <w:t xml:space="preserve">with the bill's </w:t>
            </w:r>
            <w:r w:rsidRPr="00A23BB5">
              <w:t>requirements</w:t>
            </w:r>
            <w:r>
              <w:t xml:space="preserve"> </w:t>
            </w:r>
            <w:r>
              <w:t>from giving the</w:t>
            </w:r>
            <w:r>
              <w:t xml:space="preserve"> adjudicating</w:t>
            </w:r>
            <w:r>
              <w:t xml:space="preserve"> authority discretion to abate the claim for one</w:t>
            </w:r>
            <w:r>
              <w:t xml:space="preserve"> </w:t>
            </w:r>
            <w:r>
              <w:t>year</w:t>
            </w:r>
            <w:r>
              <w:t xml:space="preserve"> or to dismiss the claim with or without prejudice to an automatic dismissal </w:t>
            </w:r>
            <w:r>
              <w:t>without prejudice</w:t>
            </w:r>
            <w:r>
              <w:t xml:space="preserve"> in the first instance of the claim and an automatic dismissal with prejudice in the second instance</w:t>
            </w:r>
            <w:r>
              <w:t xml:space="preserve">. </w:t>
            </w:r>
          </w:p>
          <w:p w:rsidR="00A14DC6" w:rsidRDefault="008F2B6D" w:rsidP="00B57828">
            <w:pPr>
              <w:jc w:val="both"/>
            </w:pPr>
          </w:p>
          <w:p w:rsidR="00A14DC6" w:rsidRDefault="008F2B6D" w:rsidP="00B57828">
            <w:pPr>
              <w:jc w:val="both"/>
            </w:pPr>
            <w:r>
              <w:t xml:space="preserve">The substitute </w:t>
            </w:r>
            <w:r>
              <w:t xml:space="preserve">replaces the authorization for any damages </w:t>
            </w:r>
            <w:r>
              <w:t xml:space="preserve">awarded to a governmental entity against the party responsible for a construction defect to include amounts paid by the entity to obtain the inspection and report </w:t>
            </w:r>
            <w:r>
              <w:t>identifying the defect with a requirement for such damages to include reasonable amounts paid</w:t>
            </w:r>
            <w:r>
              <w:t xml:space="preserve"> by the entity to obtain the report identifying the defect. </w:t>
            </w:r>
          </w:p>
          <w:p w:rsidR="00A73EE9" w:rsidRDefault="008F2B6D" w:rsidP="00B57828">
            <w:pPr>
              <w:jc w:val="both"/>
            </w:pPr>
          </w:p>
          <w:p w:rsidR="00A73EE9" w:rsidRPr="00411950" w:rsidRDefault="008F2B6D" w:rsidP="00B57828">
            <w:pPr>
              <w:jc w:val="both"/>
            </w:pPr>
            <w:r>
              <w:t xml:space="preserve">The substitute </w:t>
            </w:r>
            <w:r>
              <w:t>revises the</w:t>
            </w:r>
            <w:r>
              <w:t xml:space="preserve"> definitions of "contractor" and </w:t>
            </w:r>
            <w:r>
              <w:t>"</w:t>
            </w:r>
            <w:r>
              <w:t>design professional" for purposes of the bill's provisions.</w:t>
            </w:r>
          </w:p>
        </w:tc>
      </w:tr>
      <w:tr w:rsidR="004A0933" w:rsidTr="00345119">
        <w:tc>
          <w:tcPr>
            <w:tcW w:w="9576" w:type="dxa"/>
          </w:tcPr>
          <w:p w:rsidR="00BE6E2D" w:rsidRPr="009C1E9A" w:rsidRDefault="008F2B6D" w:rsidP="00B57828">
            <w:pPr>
              <w:rPr>
                <w:b/>
                <w:u w:val="single"/>
              </w:rPr>
            </w:pPr>
          </w:p>
        </w:tc>
      </w:tr>
      <w:tr w:rsidR="004A0933" w:rsidTr="00345119">
        <w:tc>
          <w:tcPr>
            <w:tcW w:w="9576" w:type="dxa"/>
          </w:tcPr>
          <w:p w:rsidR="00BE6E2D" w:rsidRPr="00BE6E2D" w:rsidRDefault="008F2B6D" w:rsidP="00B57828">
            <w:pPr>
              <w:jc w:val="both"/>
            </w:pPr>
          </w:p>
        </w:tc>
      </w:tr>
    </w:tbl>
    <w:p w:rsidR="008423E4" w:rsidRPr="00BE0E75" w:rsidRDefault="008F2B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2B6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B6D">
      <w:r>
        <w:separator/>
      </w:r>
    </w:p>
  </w:endnote>
  <w:endnote w:type="continuationSeparator" w:id="0">
    <w:p w:rsidR="00000000" w:rsidRDefault="008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6A" w:rsidRDefault="008F2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0933" w:rsidTr="009C1E9A">
      <w:trPr>
        <w:cantSplit/>
      </w:trPr>
      <w:tc>
        <w:tcPr>
          <w:tcW w:w="0" w:type="pct"/>
        </w:tcPr>
        <w:p w:rsidR="00137D90" w:rsidRDefault="008F2B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2B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2B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2B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2B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933" w:rsidTr="009C1E9A">
      <w:trPr>
        <w:cantSplit/>
      </w:trPr>
      <w:tc>
        <w:tcPr>
          <w:tcW w:w="0" w:type="pct"/>
        </w:tcPr>
        <w:p w:rsidR="00EC379B" w:rsidRDefault="008F2B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2B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26420</w:t>
          </w:r>
        </w:p>
      </w:tc>
      <w:tc>
        <w:tcPr>
          <w:tcW w:w="2453" w:type="pct"/>
        </w:tcPr>
        <w:p w:rsidR="00EC379B" w:rsidRDefault="008F2B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19.102.68</w:t>
          </w:r>
          <w:r>
            <w:fldChar w:fldCharType="end"/>
          </w:r>
        </w:p>
      </w:tc>
    </w:tr>
    <w:tr w:rsidR="004A0933" w:rsidTr="009C1E9A">
      <w:trPr>
        <w:cantSplit/>
      </w:trPr>
      <w:tc>
        <w:tcPr>
          <w:tcW w:w="0" w:type="pct"/>
        </w:tcPr>
        <w:p w:rsidR="00EC379B" w:rsidRDefault="008F2B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2B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24116</w:t>
          </w:r>
        </w:p>
      </w:tc>
      <w:tc>
        <w:tcPr>
          <w:tcW w:w="2453" w:type="pct"/>
        </w:tcPr>
        <w:p w:rsidR="00EC379B" w:rsidRDefault="008F2B6D" w:rsidP="006D504F">
          <w:pPr>
            <w:pStyle w:val="Footer"/>
            <w:rPr>
              <w:rStyle w:val="PageNumber"/>
            </w:rPr>
          </w:pPr>
        </w:p>
        <w:p w:rsidR="00EC379B" w:rsidRDefault="008F2B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09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2B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8F2B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2B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6A" w:rsidRDefault="008F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B6D">
      <w:r>
        <w:separator/>
      </w:r>
    </w:p>
  </w:footnote>
  <w:footnote w:type="continuationSeparator" w:id="0">
    <w:p w:rsidR="00000000" w:rsidRDefault="008F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6A" w:rsidRDefault="008F2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6A" w:rsidRDefault="008F2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6A" w:rsidRDefault="008F2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326"/>
    <w:multiLevelType w:val="hybridMultilevel"/>
    <w:tmpl w:val="56264B74"/>
    <w:lvl w:ilvl="0" w:tplc="03542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2B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2E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44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C5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E0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A4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4D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E5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001C"/>
    <w:multiLevelType w:val="hybridMultilevel"/>
    <w:tmpl w:val="B4DE1C48"/>
    <w:lvl w:ilvl="0" w:tplc="16D68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7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46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0B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1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64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F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9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A5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77CF"/>
    <w:multiLevelType w:val="hybridMultilevel"/>
    <w:tmpl w:val="42AE5D54"/>
    <w:lvl w:ilvl="0" w:tplc="72DA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89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04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C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4F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24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EB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67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07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3"/>
    <w:rsid w:val="004A0933"/>
    <w:rsid w:val="008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FBE3C-4CA3-47ED-84F6-94A8535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C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7CFE"/>
    <w:rPr>
      <w:b/>
      <w:bCs/>
    </w:rPr>
  </w:style>
  <w:style w:type="paragraph" w:styleId="Revision">
    <w:name w:val="Revision"/>
    <w:hidden/>
    <w:uiPriority w:val="99"/>
    <w:semiHidden/>
    <w:rsid w:val="00790D95"/>
    <w:rPr>
      <w:sz w:val="24"/>
      <w:szCs w:val="24"/>
    </w:rPr>
  </w:style>
  <w:style w:type="character" w:styleId="Hyperlink">
    <w:name w:val="Hyperlink"/>
    <w:basedOn w:val="DefaultParagraphFont"/>
    <w:unhideWhenUsed/>
    <w:rsid w:val="00664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9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77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6142</Characters>
  <Application>Microsoft Office Word</Application>
  <DocSecurity>4</DocSecurity>
  <Lines>124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HB01999 (Committee Report (Substituted))</vt:lpstr>
    </vt:vector>
  </TitlesOfParts>
  <Company>State of Texas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26420</dc:subject>
  <dc:creator>State of Texas</dc:creator>
  <dc:description>HB 1999 by Leach-(H)Judiciary &amp; Civil Jurisprudence (Substitute Document Number: 86R 24116)</dc:description>
  <cp:lastModifiedBy>Erin Conway</cp:lastModifiedBy>
  <cp:revision>2</cp:revision>
  <cp:lastPrinted>2019-04-11T23:32:00Z</cp:lastPrinted>
  <dcterms:created xsi:type="dcterms:W3CDTF">2019-04-17T01:12:00Z</dcterms:created>
  <dcterms:modified xsi:type="dcterms:W3CDTF">2019-04-17T01:12:00Z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19.102.68</vt:lpwstr>
  </property>
</Properties>
</file>