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D2E68" w:rsidTr="00345119">
        <w:tc>
          <w:tcPr>
            <w:tcW w:w="9576" w:type="dxa"/>
            <w:noWrap/>
          </w:tcPr>
          <w:p w:rsidR="008423E4" w:rsidRPr="0022177D" w:rsidRDefault="006D3B6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D3B65" w:rsidP="008423E4">
      <w:pPr>
        <w:jc w:val="center"/>
      </w:pPr>
    </w:p>
    <w:p w:rsidR="008423E4" w:rsidRPr="00B31F0E" w:rsidRDefault="006D3B65" w:rsidP="008423E4"/>
    <w:p w:rsidR="008423E4" w:rsidRPr="00742794" w:rsidRDefault="006D3B6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D2E68" w:rsidTr="00345119">
        <w:tc>
          <w:tcPr>
            <w:tcW w:w="9576" w:type="dxa"/>
          </w:tcPr>
          <w:p w:rsidR="008423E4" w:rsidRPr="00861995" w:rsidRDefault="006D3B65" w:rsidP="00345119">
            <w:pPr>
              <w:jc w:val="right"/>
            </w:pPr>
            <w:r>
              <w:t>C.S.H.B. 2003</w:t>
            </w:r>
          </w:p>
        </w:tc>
      </w:tr>
      <w:tr w:rsidR="009D2E68" w:rsidTr="00345119">
        <w:tc>
          <w:tcPr>
            <w:tcW w:w="9576" w:type="dxa"/>
          </w:tcPr>
          <w:p w:rsidR="008423E4" w:rsidRPr="00861995" w:rsidRDefault="006D3B65" w:rsidP="00A80EAA">
            <w:pPr>
              <w:jc w:val="right"/>
            </w:pPr>
            <w:r>
              <w:t xml:space="preserve">By: </w:t>
            </w:r>
            <w:r>
              <w:t>Leach</w:t>
            </w:r>
          </w:p>
        </w:tc>
      </w:tr>
      <w:tr w:rsidR="009D2E68" w:rsidTr="00345119">
        <w:tc>
          <w:tcPr>
            <w:tcW w:w="9576" w:type="dxa"/>
          </w:tcPr>
          <w:p w:rsidR="008423E4" w:rsidRPr="00861995" w:rsidRDefault="006D3B65" w:rsidP="00345119">
            <w:pPr>
              <w:jc w:val="right"/>
            </w:pPr>
            <w:r>
              <w:t>Judiciary &amp; Civil Jurisprudence</w:t>
            </w:r>
          </w:p>
        </w:tc>
      </w:tr>
      <w:tr w:rsidR="009D2E68" w:rsidTr="00345119">
        <w:tc>
          <w:tcPr>
            <w:tcW w:w="9576" w:type="dxa"/>
          </w:tcPr>
          <w:p w:rsidR="008423E4" w:rsidRDefault="006D3B6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D3B65" w:rsidP="008423E4">
      <w:pPr>
        <w:tabs>
          <w:tab w:val="right" w:pos="9360"/>
        </w:tabs>
      </w:pPr>
    </w:p>
    <w:p w:rsidR="008423E4" w:rsidRDefault="006D3B65" w:rsidP="008423E4"/>
    <w:p w:rsidR="008423E4" w:rsidRDefault="006D3B6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D2E68" w:rsidTr="003A5661">
        <w:tc>
          <w:tcPr>
            <w:tcW w:w="9576" w:type="dxa"/>
          </w:tcPr>
          <w:p w:rsidR="008423E4" w:rsidRPr="00A8133F" w:rsidRDefault="006D3B65" w:rsidP="003539F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D3B65" w:rsidP="003539F3"/>
          <w:p w:rsidR="008423E4" w:rsidRDefault="006D3B65" w:rsidP="003539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</w:t>
            </w:r>
            <w:r>
              <w:t>observed</w:t>
            </w:r>
            <w:r>
              <w:t xml:space="preserve"> that the </w:t>
            </w:r>
            <w:r>
              <w:t>o</w:t>
            </w:r>
            <w:r w:rsidRPr="003D63A8">
              <w:t xml:space="preserve">ffice of the </w:t>
            </w:r>
            <w:r>
              <w:t>a</w:t>
            </w:r>
            <w:r w:rsidRPr="003D63A8">
              <w:t xml:space="preserve">ttorney </w:t>
            </w:r>
            <w:r>
              <w:t>g</w:t>
            </w:r>
            <w:r w:rsidRPr="003D63A8">
              <w:t>eneral</w:t>
            </w:r>
            <w:r>
              <w:t xml:space="preserve"> is better suited than the comptroller of public accounts to </w:t>
            </w:r>
            <w:r w:rsidRPr="003D63A8">
              <w:t>review and approv</w:t>
            </w:r>
            <w:r>
              <w:t>e</w:t>
            </w:r>
            <w:r w:rsidRPr="003D63A8">
              <w:t xml:space="preserve"> certain contingent fee contracts for legal services</w:t>
            </w:r>
            <w:r>
              <w:t xml:space="preserve"> </w:t>
            </w:r>
            <w:r>
              <w:t>since th</w:t>
            </w:r>
            <w:r>
              <w:t>at</w:t>
            </w:r>
            <w:r>
              <w:t xml:space="preserve"> </w:t>
            </w:r>
            <w:r>
              <w:t xml:space="preserve">office </w:t>
            </w:r>
            <w:r w:rsidRPr="003D63A8">
              <w:t xml:space="preserve">already reviews legal services </w:t>
            </w:r>
            <w:r>
              <w:t xml:space="preserve">contracts </w:t>
            </w:r>
            <w:r w:rsidRPr="003D63A8">
              <w:t xml:space="preserve">on behalf of many other </w:t>
            </w:r>
            <w:r>
              <w:t>entities</w:t>
            </w:r>
            <w:r w:rsidRPr="003D63A8">
              <w:t>.</w:t>
            </w:r>
            <w:r>
              <w:t xml:space="preserve"> </w:t>
            </w:r>
            <w:r>
              <w:t>C.S.H.B.</w:t>
            </w:r>
            <w:r>
              <w:t xml:space="preserve"> 2003 seeks to </w:t>
            </w:r>
            <w:r>
              <w:t xml:space="preserve">provide </w:t>
            </w:r>
            <w:r>
              <w:t>for the efficient and effective administration of state government</w:t>
            </w:r>
            <w:r>
              <w:t xml:space="preserve"> by </w:t>
            </w:r>
            <w:r>
              <w:t>revising</w:t>
            </w:r>
            <w:r>
              <w:t xml:space="preserve"> </w:t>
            </w:r>
            <w:r>
              <w:t xml:space="preserve">requirements for the review and approval of </w:t>
            </w:r>
            <w:r>
              <w:t>contingent fee contracts</w:t>
            </w:r>
            <w:r>
              <w:t xml:space="preserve"> for certain public agencies</w:t>
            </w:r>
            <w:r>
              <w:t xml:space="preserve">. </w:t>
            </w:r>
          </w:p>
          <w:p w:rsidR="00CC1638" w:rsidRPr="00E26B13" w:rsidRDefault="006D3B65" w:rsidP="003539F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9D2E68" w:rsidTr="003A5661">
        <w:tc>
          <w:tcPr>
            <w:tcW w:w="9576" w:type="dxa"/>
          </w:tcPr>
          <w:p w:rsidR="0017725B" w:rsidRDefault="006D3B65" w:rsidP="003539F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D3B65" w:rsidP="003539F3">
            <w:pPr>
              <w:rPr>
                <w:b/>
                <w:u w:val="single"/>
              </w:rPr>
            </w:pPr>
          </w:p>
          <w:p w:rsidR="00E54D33" w:rsidRPr="00E54D33" w:rsidRDefault="006D3B65" w:rsidP="003539F3">
            <w:pPr>
              <w:jc w:val="both"/>
            </w:pPr>
            <w:r>
              <w:t xml:space="preserve">It is the committee's opinion that this bill does </w:t>
            </w:r>
            <w:r>
              <w:t>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D3B65" w:rsidP="003539F3">
            <w:pPr>
              <w:rPr>
                <w:b/>
                <w:u w:val="single"/>
              </w:rPr>
            </w:pPr>
          </w:p>
        </w:tc>
      </w:tr>
      <w:tr w:rsidR="009D2E68" w:rsidTr="003A5661">
        <w:tc>
          <w:tcPr>
            <w:tcW w:w="9576" w:type="dxa"/>
          </w:tcPr>
          <w:p w:rsidR="008423E4" w:rsidRPr="00A8133F" w:rsidRDefault="006D3B65" w:rsidP="003539F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D3B65" w:rsidP="003539F3"/>
          <w:p w:rsidR="00E54D33" w:rsidRDefault="006D3B65" w:rsidP="003539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</w:t>
            </w:r>
            <w:r>
              <w:t xml:space="preserve"> committee's opinion that rulemaking authority is expressly granted to the attorney general in SECTION 1 of this bill.</w:t>
            </w:r>
          </w:p>
          <w:p w:rsidR="008423E4" w:rsidRPr="00E21FDC" w:rsidRDefault="006D3B65" w:rsidP="003539F3">
            <w:pPr>
              <w:rPr>
                <w:b/>
              </w:rPr>
            </w:pPr>
          </w:p>
        </w:tc>
      </w:tr>
      <w:tr w:rsidR="009D2E68" w:rsidTr="003A5661">
        <w:tc>
          <w:tcPr>
            <w:tcW w:w="9576" w:type="dxa"/>
          </w:tcPr>
          <w:p w:rsidR="008423E4" w:rsidRPr="00A8133F" w:rsidRDefault="006D3B65" w:rsidP="003539F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D3B65" w:rsidP="003539F3"/>
          <w:p w:rsidR="00D07458" w:rsidRDefault="006D3B65" w:rsidP="003539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>
              <w:t xml:space="preserve"> 2003</w:t>
            </w:r>
            <w:r>
              <w:t xml:space="preserve"> amends the Local Government Code to prohibit </w:t>
            </w:r>
            <w:r>
              <w:t xml:space="preserve">a </w:t>
            </w:r>
            <w:r w:rsidRPr="00765133">
              <w:t xml:space="preserve">political subdivision or </w:t>
            </w:r>
            <w:r>
              <w:t xml:space="preserve">state </w:t>
            </w:r>
            <w:r w:rsidRPr="00765133">
              <w:t xml:space="preserve">agency which has the power to </w:t>
            </w:r>
            <w:r w:rsidRPr="00765133">
              <w:t>own and operate waste collection, transportation, treatment, or disposal facilities or systems</w:t>
            </w:r>
            <w:r>
              <w:t xml:space="preserve"> and any joint board created to jointly operate county and municipal</w:t>
            </w:r>
            <w:r w:rsidRPr="00765133">
              <w:t xml:space="preserve"> airport facilit</w:t>
            </w:r>
            <w:r>
              <w:t xml:space="preserve">ies </w:t>
            </w:r>
            <w:r>
              <w:t xml:space="preserve">from entering into </w:t>
            </w:r>
            <w:r>
              <w:t>a</w:t>
            </w:r>
            <w:r w:rsidRPr="00765133">
              <w:t xml:space="preserve"> contingent fee contract for legal services </w:t>
            </w:r>
            <w:r>
              <w:t xml:space="preserve">under the </w:t>
            </w:r>
            <w:r w:rsidRPr="00036D89">
              <w:t>Professional Services Procurement Act</w:t>
            </w:r>
            <w:r>
              <w:t xml:space="preserve"> </w:t>
            </w:r>
            <w:r>
              <w:t xml:space="preserve">without </w:t>
            </w:r>
            <w:r>
              <w:t>review</w:t>
            </w:r>
            <w:r>
              <w:t xml:space="preserve"> </w:t>
            </w:r>
            <w:r w:rsidRPr="00765133">
              <w:t>and approv</w:t>
            </w:r>
            <w:r>
              <w:t>al</w:t>
            </w:r>
            <w:r w:rsidRPr="00765133">
              <w:t xml:space="preserve"> by the attorney general.</w:t>
            </w:r>
            <w:r>
              <w:t xml:space="preserve"> </w:t>
            </w:r>
            <w:r>
              <w:t xml:space="preserve">The bill </w:t>
            </w:r>
            <w:r>
              <w:t>exempts</w:t>
            </w:r>
            <w:r>
              <w:t xml:space="preserve"> the following </w:t>
            </w:r>
            <w:r>
              <w:t xml:space="preserve">contracts </w:t>
            </w:r>
            <w:r>
              <w:t>from th</w:t>
            </w:r>
            <w:r>
              <w:t>at</w:t>
            </w:r>
            <w:r>
              <w:t xml:space="preserve"> prohibition:</w:t>
            </w:r>
          </w:p>
          <w:p w:rsidR="000607B5" w:rsidRDefault="006D3B65" w:rsidP="003539F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certain</w:t>
            </w:r>
            <w:r w:rsidRPr="000607B5">
              <w:t xml:space="preserve"> contract</w:t>
            </w:r>
            <w:r>
              <w:t>s</w:t>
            </w:r>
            <w:r w:rsidRPr="000607B5">
              <w:t xml:space="preserve"> to collect delinquent </w:t>
            </w:r>
            <w:r>
              <w:t>property</w:t>
            </w:r>
            <w:r w:rsidRPr="000607B5">
              <w:t xml:space="preserve"> taxes</w:t>
            </w:r>
            <w:r>
              <w:t>;</w:t>
            </w:r>
          </w:p>
          <w:p w:rsidR="000607B5" w:rsidRDefault="006D3B65" w:rsidP="003539F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certain contracts</w:t>
            </w:r>
            <w:r>
              <w:t xml:space="preserve"> to collect delinquent court fines and fees;</w:t>
            </w:r>
          </w:p>
          <w:p w:rsidR="000607B5" w:rsidRDefault="006D3B65" w:rsidP="003539F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0607B5">
              <w:t>a contract to collect delinquent accounts receivable</w:t>
            </w:r>
            <w:r>
              <w:t>, including weed liens and paving liens, or other special assessments</w:t>
            </w:r>
            <w:r>
              <w:t xml:space="preserve">; </w:t>
            </w:r>
            <w:r>
              <w:t>and</w:t>
            </w:r>
          </w:p>
          <w:p w:rsidR="000607B5" w:rsidRDefault="006D3B65" w:rsidP="003539F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 type of contract designated by the attorney general by rule based on the insignifi</w:t>
            </w:r>
            <w:r>
              <w:t>cance of the risk involved or the existence of express statutory authority for the contract.</w:t>
            </w:r>
          </w:p>
          <w:p w:rsidR="00D07458" w:rsidRDefault="006D3B65" w:rsidP="003539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25835" w:rsidRDefault="006D3B65" w:rsidP="003539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>
              <w:t xml:space="preserve"> 2003</w:t>
            </w:r>
            <w:r>
              <w:t xml:space="preserve"> repeals </w:t>
            </w:r>
            <w:r w:rsidRPr="00E54D33">
              <w:t>Section 403.0305, Government Code,</w:t>
            </w:r>
            <w:r>
              <w:t xml:space="preserve"> which prohibits an entity </w:t>
            </w:r>
            <w:r>
              <w:t xml:space="preserve">subject to the </w:t>
            </w:r>
            <w:r>
              <w:t>bill's provisions</w:t>
            </w:r>
            <w:r>
              <w:t xml:space="preserve"> </w:t>
            </w:r>
            <w:r>
              <w:t xml:space="preserve">from entering into a </w:t>
            </w:r>
            <w:r>
              <w:t xml:space="preserve">contingent fee </w:t>
            </w:r>
            <w:r>
              <w:t>contract</w:t>
            </w:r>
            <w:r>
              <w:t xml:space="preserve"> f</w:t>
            </w:r>
            <w:r>
              <w:t>or legal services</w:t>
            </w:r>
            <w:r>
              <w:t xml:space="preserve"> </w:t>
            </w:r>
            <w:r w:rsidRPr="00765133">
              <w:t xml:space="preserve">without review </w:t>
            </w:r>
            <w:r>
              <w:t xml:space="preserve">and approval </w:t>
            </w:r>
            <w:r>
              <w:t xml:space="preserve">by </w:t>
            </w:r>
            <w:r>
              <w:t>the comptroller of public accounts.</w:t>
            </w:r>
          </w:p>
          <w:p w:rsidR="008423E4" w:rsidRPr="00835628" w:rsidRDefault="006D3B65" w:rsidP="003539F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9D2E68" w:rsidTr="003A5661">
        <w:tc>
          <w:tcPr>
            <w:tcW w:w="9576" w:type="dxa"/>
          </w:tcPr>
          <w:p w:rsidR="008423E4" w:rsidRPr="00A8133F" w:rsidRDefault="006D3B65" w:rsidP="003539F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D3B65" w:rsidP="003539F3"/>
          <w:p w:rsidR="008423E4" w:rsidRPr="003624F2" w:rsidRDefault="006D3B65" w:rsidP="003539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6D3B65" w:rsidP="003539F3">
            <w:pPr>
              <w:rPr>
                <w:b/>
              </w:rPr>
            </w:pPr>
          </w:p>
        </w:tc>
      </w:tr>
      <w:tr w:rsidR="009D2E68" w:rsidTr="003A5661">
        <w:tc>
          <w:tcPr>
            <w:tcW w:w="9576" w:type="dxa"/>
          </w:tcPr>
          <w:p w:rsidR="00A80EAA" w:rsidRDefault="006D3B65" w:rsidP="003539F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E70FF" w:rsidRDefault="006D3B65" w:rsidP="003539F3">
            <w:pPr>
              <w:jc w:val="both"/>
            </w:pPr>
          </w:p>
          <w:p w:rsidR="00AE70FF" w:rsidRDefault="006D3B65" w:rsidP="003539F3">
            <w:pPr>
              <w:jc w:val="both"/>
            </w:pPr>
            <w:r>
              <w:t xml:space="preserve">While C.S.H.B. 2003 may </w:t>
            </w:r>
            <w:r>
              <w:t>differ from the original in minor or nonsubstantive ways, the following summarizes the substantial differences between the introduced and committee substitute versions of the bill.</w:t>
            </w:r>
          </w:p>
          <w:p w:rsidR="00AE70FF" w:rsidRDefault="006D3B65" w:rsidP="003539F3">
            <w:pPr>
              <w:jc w:val="both"/>
            </w:pPr>
          </w:p>
          <w:p w:rsidR="00AE70FF" w:rsidRDefault="006D3B65" w:rsidP="003539F3">
            <w:pPr>
              <w:jc w:val="both"/>
            </w:pPr>
            <w:r>
              <w:t xml:space="preserve">The substitute </w:t>
            </w:r>
            <w:r>
              <w:t xml:space="preserve">includes an </w:t>
            </w:r>
            <w:r>
              <w:t>exemption from</w:t>
            </w:r>
            <w:r>
              <w:t xml:space="preserve"> the prohibition</w:t>
            </w:r>
            <w:r>
              <w:t xml:space="preserve"> </w:t>
            </w:r>
            <w:r>
              <w:t xml:space="preserve">for </w:t>
            </w:r>
            <w:r>
              <w:t>certain cont</w:t>
            </w:r>
            <w:r>
              <w:t>racts</w:t>
            </w:r>
            <w:r>
              <w:t>.</w:t>
            </w:r>
          </w:p>
          <w:p w:rsidR="00AE70FF" w:rsidRPr="00AE70FF" w:rsidRDefault="006D3B65" w:rsidP="003539F3">
            <w:pPr>
              <w:jc w:val="both"/>
            </w:pPr>
          </w:p>
        </w:tc>
      </w:tr>
      <w:tr w:rsidR="009D2E68" w:rsidTr="003A5661">
        <w:tc>
          <w:tcPr>
            <w:tcW w:w="9576" w:type="dxa"/>
          </w:tcPr>
          <w:p w:rsidR="00A80EAA" w:rsidRPr="009C1E9A" w:rsidRDefault="006D3B65" w:rsidP="003539F3">
            <w:pPr>
              <w:rPr>
                <w:b/>
                <w:u w:val="single"/>
              </w:rPr>
            </w:pPr>
          </w:p>
        </w:tc>
      </w:tr>
      <w:tr w:rsidR="009D2E68" w:rsidTr="003A5661">
        <w:tc>
          <w:tcPr>
            <w:tcW w:w="9576" w:type="dxa"/>
          </w:tcPr>
          <w:p w:rsidR="00A80EAA" w:rsidRPr="00A80EAA" w:rsidRDefault="006D3B65" w:rsidP="003539F3">
            <w:pPr>
              <w:jc w:val="both"/>
            </w:pPr>
          </w:p>
        </w:tc>
      </w:tr>
    </w:tbl>
    <w:p w:rsidR="008423E4" w:rsidRPr="00BE0E75" w:rsidRDefault="006D3B6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D3B6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D3B65">
      <w:r>
        <w:separator/>
      </w:r>
    </w:p>
  </w:endnote>
  <w:endnote w:type="continuationSeparator" w:id="0">
    <w:p w:rsidR="00000000" w:rsidRDefault="006D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D3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D2E68" w:rsidTr="009C1E9A">
      <w:trPr>
        <w:cantSplit/>
      </w:trPr>
      <w:tc>
        <w:tcPr>
          <w:tcW w:w="0" w:type="pct"/>
        </w:tcPr>
        <w:p w:rsidR="00137D90" w:rsidRDefault="006D3B6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D3B6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D3B6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D3B6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D3B6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D2E68" w:rsidTr="009C1E9A">
      <w:trPr>
        <w:cantSplit/>
      </w:trPr>
      <w:tc>
        <w:tcPr>
          <w:tcW w:w="0" w:type="pct"/>
        </w:tcPr>
        <w:p w:rsidR="00EC379B" w:rsidRDefault="006D3B6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D3B6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24381</w:t>
          </w:r>
        </w:p>
      </w:tc>
      <w:tc>
        <w:tcPr>
          <w:tcW w:w="2453" w:type="pct"/>
        </w:tcPr>
        <w:p w:rsidR="00EC379B" w:rsidRDefault="006D3B6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19.94.70</w:t>
          </w:r>
          <w:r>
            <w:fldChar w:fldCharType="end"/>
          </w:r>
        </w:p>
      </w:tc>
    </w:tr>
    <w:tr w:rsidR="009D2E68" w:rsidTr="009C1E9A">
      <w:trPr>
        <w:cantSplit/>
      </w:trPr>
      <w:tc>
        <w:tcPr>
          <w:tcW w:w="0" w:type="pct"/>
        </w:tcPr>
        <w:p w:rsidR="00EC379B" w:rsidRDefault="006D3B6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D3B6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20620</w:t>
          </w:r>
        </w:p>
      </w:tc>
      <w:tc>
        <w:tcPr>
          <w:tcW w:w="2453" w:type="pct"/>
        </w:tcPr>
        <w:p w:rsidR="00EC379B" w:rsidRDefault="006D3B65" w:rsidP="006D504F">
          <w:pPr>
            <w:pStyle w:val="Footer"/>
            <w:rPr>
              <w:rStyle w:val="PageNumber"/>
            </w:rPr>
          </w:pPr>
        </w:p>
        <w:p w:rsidR="00EC379B" w:rsidRDefault="006D3B6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D2E6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D3B6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6D3B6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D3B6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D3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D3B65">
      <w:r>
        <w:separator/>
      </w:r>
    </w:p>
  </w:footnote>
  <w:footnote w:type="continuationSeparator" w:id="0">
    <w:p w:rsidR="00000000" w:rsidRDefault="006D3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D3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D3B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D3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56A31"/>
    <w:multiLevelType w:val="hybridMultilevel"/>
    <w:tmpl w:val="535ECA14"/>
    <w:lvl w:ilvl="0" w:tplc="60867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1E7F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0A2E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2E3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073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EEC9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B01B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A622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1C14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68"/>
    <w:rsid w:val="006D3B65"/>
    <w:rsid w:val="009D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3816B3-F495-4920-9F4B-BC0DE3C0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651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65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513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5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5133"/>
    <w:rPr>
      <w:b/>
      <w:bCs/>
    </w:rPr>
  </w:style>
  <w:style w:type="paragraph" w:styleId="Revision">
    <w:name w:val="Revision"/>
    <w:hidden/>
    <w:uiPriority w:val="99"/>
    <w:semiHidden/>
    <w:rsid w:val="00C929B8"/>
    <w:rPr>
      <w:sz w:val="24"/>
      <w:szCs w:val="24"/>
    </w:rPr>
  </w:style>
  <w:style w:type="character" w:styleId="Hyperlink">
    <w:name w:val="Hyperlink"/>
    <w:basedOn w:val="DefaultParagraphFont"/>
    <w:unhideWhenUsed/>
    <w:rsid w:val="00283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2302</Characters>
  <Application>Microsoft Office Word</Application>
  <DocSecurity>4</DocSecurity>
  <Lines>65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HB02003 (Committee Report (Substituted))</vt:lpstr>
    </vt:vector>
  </TitlesOfParts>
  <Company>State of Texas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24381</dc:subject>
  <dc:creator>State of Texas</dc:creator>
  <dc:description>HB 2003 by Leach-(H)Judiciary &amp; Civil Jurisprudence (Substitute Document Number: 86R 20620)</dc:description>
  <cp:lastModifiedBy>Scotty Wimberley</cp:lastModifiedBy>
  <cp:revision>2</cp:revision>
  <cp:lastPrinted>2003-11-26T17:21:00Z</cp:lastPrinted>
  <dcterms:created xsi:type="dcterms:W3CDTF">2019-04-17T00:34:00Z</dcterms:created>
  <dcterms:modified xsi:type="dcterms:W3CDTF">2019-04-17T00:34:00Z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19.94.70</vt:lpwstr>
  </property>
</Properties>
</file>