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F61F2" w:rsidTr="00345119">
        <w:tc>
          <w:tcPr>
            <w:tcW w:w="9576" w:type="dxa"/>
            <w:noWrap/>
          </w:tcPr>
          <w:p w:rsidR="008423E4" w:rsidRPr="0022177D" w:rsidRDefault="00C134BC" w:rsidP="00345119">
            <w:pPr>
              <w:pStyle w:val="Heading1"/>
            </w:pPr>
            <w:bookmarkStart w:id="0" w:name="_GoBack"/>
            <w:bookmarkEnd w:id="0"/>
            <w:r w:rsidRPr="00631897">
              <w:t>BILL ANALYSIS</w:t>
            </w:r>
          </w:p>
        </w:tc>
      </w:tr>
    </w:tbl>
    <w:p w:rsidR="008423E4" w:rsidRPr="0022177D" w:rsidRDefault="00C134BC" w:rsidP="008423E4">
      <w:pPr>
        <w:jc w:val="center"/>
      </w:pPr>
    </w:p>
    <w:p w:rsidR="008423E4" w:rsidRPr="00B31F0E" w:rsidRDefault="00C134BC" w:rsidP="008423E4"/>
    <w:p w:rsidR="008423E4" w:rsidRPr="00742794" w:rsidRDefault="00C134BC" w:rsidP="008423E4">
      <w:pPr>
        <w:tabs>
          <w:tab w:val="right" w:pos="9360"/>
        </w:tabs>
      </w:pPr>
    </w:p>
    <w:tbl>
      <w:tblPr>
        <w:tblW w:w="0" w:type="auto"/>
        <w:tblLayout w:type="fixed"/>
        <w:tblLook w:val="01E0" w:firstRow="1" w:lastRow="1" w:firstColumn="1" w:lastColumn="1" w:noHBand="0" w:noVBand="0"/>
      </w:tblPr>
      <w:tblGrid>
        <w:gridCol w:w="9576"/>
      </w:tblGrid>
      <w:tr w:rsidR="00FF61F2" w:rsidTr="00345119">
        <w:tc>
          <w:tcPr>
            <w:tcW w:w="9576" w:type="dxa"/>
          </w:tcPr>
          <w:p w:rsidR="008423E4" w:rsidRPr="00861995" w:rsidRDefault="00C134BC" w:rsidP="00345119">
            <w:pPr>
              <w:jc w:val="right"/>
            </w:pPr>
            <w:r>
              <w:t>C.S.H.B. 2048</w:t>
            </w:r>
          </w:p>
        </w:tc>
      </w:tr>
      <w:tr w:rsidR="00FF61F2" w:rsidTr="00345119">
        <w:tc>
          <w:tcPr>
            <w:tcW w:w="9576" w:type="dxa"/>
          </w:tcPr>
          <w:p w:rsidR="008423E4" w:rsidRPr="00861995" w:rsidRDefault="00C134BC" w:rsidP="00826B30">
            <w:pPr>
              <w:jc w:val="right"/>
            </w:pPr>
            <w:r>
              <w:t xml:space="preserve">By: </w:t>
            </w:r>
            <w:r>
              <w:t>Zerwas</w:t>
            </w:r>
          </w:p>
        </w:tc>
      </w:tr>
      <w:tr w:rsidR="00FF61F2" w:rsidTr="00345119">
        <w:tc>
          <w:tcPr>
            <w:tcW w:w="9576" w:type="dxa"/>
          </w:tcPr>
          <w:p w:rsidR="008423E4" w:rsidRPr="00861995" w:rsidRDefault="00C134BC" w:rsidP="00345119">
            <w:pPr>
              <w:jc w:val="right"/>
            </w:pPr>
            <w:r>
              <w:t>Homeland Security &amp; Public Safety</w:t>
            </w:r>
          </w:p>
        </w:tc>
      </w:tr>
      <w:tr w:rsidR="00FF61F2" w:rsidTr="00345119">
        <w:tc>
          <w:tcPr>
            <w:tcW w:w="9576" w:type="dxa"/>
          </w:tcPr>
          <w:p w:rsidR="008423E4" w:rsidRDefault="00C134BC" w:rsidP="00345119">
            <w:pPr>
              <w:jc w:val="right"/>
            </w:pPr>
            <w:r>
              <w:t>Committee Report (Substituted)</w:t>
            </w:r>
          </w:p>
        </w:tc>
      </w:tr>
    </w:tbl>
    <w:p w:rsidR="008423E4" w:rsidRDefault="00C134BC" w:rsidP="008423E4">
      <w:pPr>
        <w:tabs>
          <w:tab w:val="right" w:pos="9360"/>
        </w:tabs>
      </w:pPr>
    </w:p>
    <w:p w:rsidR="008423E4" w:rsidRDefault="00C134BC" w:rsidP="008423E4"/>
    <w:p w:rsidR="008423E4" w:rsidRDefault="00C134BC" w:rsidP="008423E4"/>
    <w:tbl>
      <w:tblPr>
        <w:tblW w:w="0" w:type="auto"/>
        <w:tblCellMar>
          <w:left w:w="115" w:type="dxa"/>
          <w:right w:w="115" w:type="dxa"/>
        </w:tblCellMar>
        <w:tblLook w:val="01E0" w:firstRow="1" w:lastRow="1" w:firstColumn="1" w:lastColumn="1" w:noHBand="0" w:noVBand="0"/>
      </w:tblPr>
      <w:tblGrid>
        <w:gridCol w:w="9576"/>
      </w:tblGrid>
      <w:tr w:rsidR="00FF61F2" w:rsidTr="00345119">
        <w:tc>
          <w:tcPr>
            <w:tcW w:w="9576" w:type="dxa"/>
          </w:tcPr>
          <w:p w:rsidR="002565E2" w:rsidRDefault="00C134BC" w:rsidP="002565E2">
            <w:pPr>
              <w:rPr>
                <w:b/>
              </w:rPr>
            </w:pPr>
            <w:r w:rsidRPr="009C1E9A">
              <w:rPr>
                <w:b/>
                <w:u w:val="single"/>
              </w:rPr>
              <w:t>BACKGROUND AND PURPOSE</w:t>
            </w:r>
            <w:r>
              <w:rPr>
                <w:b/>
              </w:rPr>
              <w:t xml:space="preserve"> </w:t>
            </w:r>
          </w:p>
          <w:p w:rsidR="002565E2" w:rsidRDefault="00C134BC" w:rsidP="002565E2">
            <w:pPr>
              <w:rPr>
                <w:b/>
              </w:rPr>
            </w:pPr>
          </w:p>
          <w:p w:rsidR="008423E4" w:rsidRPr="002565E2" w:rsidRDefault="00C134BC" w:rsidP="002565E2">
            <w:pPr>
              <w:rPr>
                <w:b/>
              </w:rPr>
            </w:pPr>
            <w:r>
              <w:t xml:space="preserve">Concerns have been raised regarding the funding of uncompensated trauma care costs, specifically those resulting </w:t>
            </w:r>
            <w:r>
              <w:t>from traffic</w:t>
            </w:r>
            <w:r>
              <w:t>-</w:t>
            </w:r>
            <w:r>
              <w:t>related accidents. It has been suggested that</w:t>
            </w:r>
            <w:r>
              <w:t>,</w:t>
            </w:r>
            <w:r>
              <w:t xml:space="preserve"> while the driver responsibility program </w:t>
            </w:r>
            <w:r>
              <w:t>is</w:t>
            </w:r>
            <w:r>
              <w:t xml:space="preserve"> intended to hold unsafe drivers accountable for behavior that has an increase</w:t>
            </w:r>
            <w:r>
              <w:t>d</w:t>
            </w:r>
            <w:r>
              <w:t xml:space="preserve"> risk of causing</w:t>
            </w:r>
            <w:r>
              <w:t xml:space="preserve"> </w:t>
            </w:r>
            <w:r>
              <w:t>trauma, the program</w:t>
            </w:r>
            <w:r>
              <w:t xml:space="preserve"> is facing logistical and operational d</w:t>
            </w:r>
            <w:r>
              <w:t>ifficulties and remains unpopular across the state due to the inadequacy of funding</w:t>
            </w:r>
            <w:r>
              <w:t xml:space="preserve"> provided</w:t>
            </w:r>
            <w:r>
              <w:t xml:space="preserve"> </w:t>
            </w:r>
            <w:r>
              <w:t xml:space="preserve">by the program </w:t>
            </w:r>
            <w:r>
              <w:t>for those</w:t>
            </w:r>
            <w:r>
              <w:t xml:space="preserve"> trauma care</w:t>
            </w:r>
            <w:r>
              <w:t xml:space="preserve"> costs. </w:t>
            </w:r>
            <w:r>
              <w:t>C.S.</w:t>
            </w:r>
            <w:r>
              <w:t xml:space="preserve">H.B. 2048 seeks to </w:t>
            </w:r>
            <w:r>
              <w:t>support</w:t>
            </w:r>
            <w:r>
              <w:t xml:space="preserve"> hospital trauma funding by eliminating the </w:t>
            </w:r>
            <w:r>
              <w:t>driver</w:t>
            </w:r>
            <w:r>
              <w:t xml:space="preserve"> responsibility program and increasing </w:t>
            </w:r>
            <w:r>
              <w:t>certain traffic fines and fees</w:t>
            </w:r>
            <w:r>
              <w:t>.</w:t>
            </w:r>
          </w:p>
          <w:p w:rsidR="008423E4" w:rsidRPr="00E26B13" w:rsidRDefault="00C134BC" w:rsidP="00CA1D10">
            <w:pPr>
              <w:rPr>
                <w:b/>
              </w:rPr>
            </w:pPr>
          </w:p>
        </w:tc>
      </w:tr>
      <w:tr w:rsidR="00FF61F2" w:rsidTr="00345119">
        <w:tc>
          <w:tcPr>
            <w:tcW w:w="9576" w:type="dxa"/>
          </w:tcPr>
          <w:p w:rsidR="0017725B" w:rsidRDefault="00C134BC" w:rsidP="00CA1D10">
            <w:pPr>
              <w:rPr>
                <w:b/>
                <w:u w:val="single"/>
              </w:rPr>
            </w:pPr>
            <w:r>
              <w:rPr>
                <w:b/>
                <w:u w:val="single"/>
              </w:rPr>
              <w:t>CRIMINAL JUSTICE IMPACT</w:t>
            </w:r>
          </w:p>
          <w:p w:rsidR="0017725B" w:rsidRDefault="00C134BC" w:rsidP="00CA1D10">
            <w:pPr>
              <w:rPr>
                <w:b/>
                <w:u w:val="single"/>
              </w:rPr>
            </w:pPr>
          </w:p>
          <w:p w:rsidR="00604EC3" w:rsidRPr="00604EC3" w:rsidRDefault="00C134BC" w:rsidP="00CA1D10">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rsidR="0017725B" w:rsidRPr="0017725B" w:rsidRDefault="00C134BC" w:rsidP="00CA1D10">
            <w:pPr>
              <w:rPr>
                <w:b/>
                <w:u w:val="single"/>
              </w:rPr>
            </w:pPr>
          </w:p>
        </w:tc>
      </w:tr>
      <w:tr w:rsidR="00FF61F2" w:rsidTr="00345119">
        <w:tc>
          <w:tcPr>
            <w:tcW w:w="9576" w:type="dxa"/>
          </w:tcPr>
          <w:p w:rsidR="008423E4" w:rsidRPr="00A8133F" w:rsidRDefault="00C134BC" w:rsidP="00CA1D10">
            <w:pPr>
              <w:rPr>
                <w:b/>
              </w:rPr>
            </w:pPr>
            <w:r w:rsidRPr="009C1E9A">
              <w:rPr>
                <w:b/>
                <w:u w:val="single"/>
              </w:rPr>
              <w:t>RULEMAKING AUTHORITY</w:t>
            </w:r>
            <w:r>
              <w:rPr>
                <w:b/>
              </w:rPr>
              <w:t xml:space="preserve"> </w:t>
            </w:r>
          </w:p>
          <w:p w:rsidR="008423E4" w:rsidRDefault="00C134BC" w:rsidP="00CA1D10"/>
          <w:p w:rsidR="00604EC3" w:rsidRDefault="00C134BC" w:rsidP="00CA1D10">
            <w:pPr>
              <w:pStyle w:val="Header"/>
              <w:tabs>
                <w:tab w:val="clear" w:pos="4320"/>
                <w:tab w:val="clear" w:pos="8640"/>
              </w:tabs>
              <w:jc w:val="both"/>
            </w:pPr>
            <w:r>
              <w:t>It is the committee's opinion that rulemaking authority is expressly granted to the Department of Public Safety in SECTION 10 of this bill.</w:t>
            </w:r>
          </w:p>
          <w:p w:rsidR="008423E4" w:rsidRPr="00E21FDC" w:rsidRDefault="00C134BC" w:rsidP="00CA1D10">
            <w:pPr>
              <w:rPr>
                <w:b/>
              </w:rPr>
            </w:pPr>
          </w:p>
        </w:tc>
      </w:tr>
      <w:tr w:rsidR="00FF61F2" w:rsidTr="00345119">
        <w:tc>
          <w:tcPr>
            <w:tcW w:w="9576" w:type="dxa"/>
          </w:tcPr>
          <w:p w:rsidR="008423E4" w:rsidRPr="00A8133F" w:rsidRDefault="00C134BC" w:rsidP="00CA1D10">
            <w:pPr>
              <w:contextualSpacing/>
              <w:rPr>
                <w:b/>
              </w:rPr>
            </w:pPr>
            <w:r w:rsidRPr="009C1E9A">
              <w:rPr>
                <w:b/>
                <w:u w:val="single"/>
              </w:rPr>
              <w:t>ANALYSIS</w:t>
            </w:r>
            <w:r>
              <w:rPr>
                <w:b/>
              </w:rPr>
              <w:t xml:space="preserve"> </w:t>
            </w:r>
          </w:p>
          <w:p w:rsidR="008423E4" w:rsidRDefault="00C134BC" w:rsidP="00CA1D10">
            <w:pPr>
              <w:contextualSpacing/>
            </w:pPr>
          </w:p>
          <w:p w:rsidR="006F2D58" w:rsidRDefault="00C134BC" w:rsidP="00CA1D10">
            <w:pPr>
              <w:pStyle w:val="Header"/>
              <w:contextualSpacing/>
              <w:jc w:val="both"/>
            </w:pPr>
            <w:r>
              <w:t xml:space="preserve">C.S.H.B. 2048 repeals Transportation Code provisions relating to the establishment and administration of the driver responsibility program and </w:t>
            </w:r>
            <w:r>
              <w:t xml:space="preserve">makes </w:t>
            </w:r>
            <w:r>
              <w:t xml:space="preserve">that repeal </w:t>
            </w:r>
            <w:r>
              <w:t xml:space="preserve">applicable </w:t>
            </w:r>
            <w:r>
              <w:t>to any surcharge pending on the bill's effective date, regardless of whet</w:t>
            </w:r>
            <w:r>
              <w:t xml:space="preserve">her the surcharge was imposed before that date. The bill requires the Department of Public Safety (DPS) to reinstate any driver's license that is suspended under the program as of the bill's effective date if the only reason </w:t>
            </w:r>
            <w:r>
              <w:t>for the</w:t>
            </w:r>
            <w:r>
              <w:t xml:space="preserve"> </w:t>
            </w:r>
            <w:r>
              <w:t xml:space="preserve">suspension </w:t>
            </w:r>
            <w:r>
              <w:t>is a failure</w:t>
            </w:r>
            <w:r>
              <w:t xml:space="preserve"> to pay such a surcharge.</w:t>
            </w:r>
          </w:p>
          <w:p w:rsidR="006F2D58" w:rsidRDefault="00C134BC" w:rsidP="00CA1D10">
            <w:pPr>
              <w:pStyle w:val="Header"/>
              <w:contextualSpacing/>
              <w:jc w:val="both"/>
            </w:pPr>
          </w:p>
          <w:p w:rsidR="00716D73" w:rsidRDefault="00C134BC" w:rsidP="00CA1D10">
            <w:pPr>
              <w:pStyle w:val="Header"/>
              <w:contextualSpacing/>
              <w:jc w:val="both"/>
            </w:pPr>
            <w:r>
              <w:t>C.S.</w:t>
            </w:r>
            <w:r>
              <w:t xml:space="preserve">H.B. 2048 amends the Transportation Code to require </w:t>
            </w:r>
            <w:r>
              <w:t>DPS</w:t>
            </w:r>
            <w:r>
              <w:t xml:space="preserve"> by rule to designate </w:t>
            </w:r>
            <w:r w:rsidRPr="00280B70">
              <w:t>the offenses involving the operation of a motor vehicle that constitute a moving violation of the traffic law for the purposes of</w:t>
            </w:r>
            <w:r>
              <w:t xml:space="preserve"> </w:t>
            </w:r>
            <w:r>
              <w:t xml:space="preserve">specified </w:t>
            </w:r>
            <w:r>
              <w:t>provisio</w:t>
            </w:r>
            <w:r>
              <w:t xml:space="preserve">ns </w:t>
            </w:r>
            <w:r>
              <w:t>that reference such a violation</w:t>
            </w:r>
            <w:r>
              <w:t>.</w:t>
            </w:r>
            <w:r>
              <w:t xml:space="preserve"> The bill requires the</w:t>
            </w:r>
            <w:r>
              <w:t xml:space="preserve"> </w:t>
            </w:r>
            <w:r>
              <w:t xml:space="preserve">rules to provide that </w:t>
            </w:r>
            <w:r>
              <w:t xml:space="preserve">moving violations, </w:t>
            </w:r>
            <w:r>
              <w:t xml:space="preserve">for the purposes of </w:t>
            </w:r>
            <w:r>
              <w:t xml:space="preserve">those </w:t>
            </w:r>
            <w:r>
              <w:t>provisions</w:t>
            </w:r>
            <w:r>
              <w:t>,</w:t>
            </w:r>
            <w:r>
              <w:t xml:space="preserve"> include a violation of the traffic law of Texas</w:t>
            </w:r>
            <w:r>
              <w:t xml:space="preserve"> or</w:t>
            </w:r>
            <w:r>
              <w:t xml:space="preserve"> another state or a political subdivision of </w:t>
            </w:r>
            <w:r>
              <w:t xml:space="preserve">Texas </w:t>
            </w:r>
            <w:r>
              <w:t>or another state a</w:t>
            </w:r>
            <w:r>
              <w:t>nd an offense relating to child passenger safety</w:t>
            </w:r>
            <w:r>
              <w:t xml:space="preserve"> seat</w:t>
            </w:r>
            <w:r>
              <w:t xml:space="preserve"> systems</w:t>
            </w:r>
            <w:r>
              <w:t xml:space="preserve"> but</w:t>
            </w:r>
            <w:r>
              <w:t xml:space="preserve"> do not include</w:t>
            </w:r>
            <w:r>
              <w:t xml:space="preserve"> the following:</w:t>
            </w:r>
          </w:p>
          <w:p w:rsidR="00716D73" w:rsidRDefault="00C134BC" w:rsidP="00CA1D10">
            <w:pPr>
              <w:pStyle w:val="Header"/>
              <w:numPr>
                <w:ilvl w:val="0"/>
                <w:numId w:val="1"/>
              </w:numPr>
              <w:spacing w:before="120" w:after="120"/>
              <w:contextualSpacing/>
              <w:jc w:val="both"/>
            </w:pPr>
            <w:r>
              <w:t xml:space="preserve">an offense committed before September 1, 2003; </w:t>
            </w:r>
          </w:p>
          <w:p w:rsidR="00716D73" w:rsidRDefault="00C134BC" w:rsidP="00CA1D10">
            <w:pPr>
              <w:pStyle w:val="Header"/>
              <w:numPr>
                <w:ilvl w:val="0"/>
                <w:numId w:val="1"/>
              </w:numPr>
              <w:spacing w:before="120" w:after="120"/>
              <w:contextualSpacing/>
              <w:jc w:val="both"/>
            </w:pPr>
            <w:r>
              <w:t>the offense of speeding when the person convicted was at the time of the offense driving less than 10 percent fa</w:t>
            </w:r>
            <w:r>
              <w:t xml:space="preserve">ster than the posted speed limit, unless the person committed the offense in a school crossing zone; </w:t>
            </w:r>
          </w:p>
          <w:p w:rsidR="00716D73" w:rsidRDefault="00C134BC" w:rsidP="00CA1D10">
            <w:pPr>
              <w:pStyle w:val="Header"/>
              <w:numPr>
                <w:ilvl w:val="0"/>
                <w:numId w:val="1"/>
              </w:numPr>
              <w:spacing w:before="120" w:after="120"/>
              <w:contextualSpacing/>
              <w:jc w:val="both"/>
            </w:pPr>
            <w:r>
              <w:t xml:space="preserve">an offense adjudicated under Code of Criminal Procedure provisions relating to the suspension of a sentence and deferral of final disposition or </w:t>
            </w:r>
            <w:r>
              <w:t xml:space="preserve">to </w:t>
            </w:r>
            <w:r w:rsidRPr="00060F5F">
              <w:t xml:space="preserve">driving safety </w:t>
            </w:r>
            <w:r>
              <w:t>and</w:t>
            </w:r>
            <w:r w:rsidRPr="00060F5F">
              <w:t xml:space="preserve"> motorcycle operator course dismissal procedures</w:t>
            </w:r>
            <w:r>
              <w:t xml:space="preserve">; or </w:t>
            </w:r>
          </w:p>
          <w:p w:rsidR="00677B09" w:rsidRDefault="00C134BC" w:rsidP="00CA1D10">
            <w:pPr>
              <w:pStyle w:val="Header"/>
              <w:numPr>
                <w:ilvl w:val="0"/>
                <w:numId w:val="1"/>
              </w:numPr>
              <w:spacing w:before="120" w:after="120"/>
              <w:contextualSpacing/>
              <w:jc w:val="both"/>
            </w:pPr>
            <w:r>
              <w:t xml:space="preserve">the </w:t>
            </w:r>
            <w:r>
              <w:t xml:space="preserve">offense of </w:t>
            </w:r>
            <w:r>
              <w:t>us</w:t>
            </w:r>
            <w:r>
              <w:t>ing</w:t>
            </w:r>
            <w:r>
              <w:t xml:space="preserve"> a portable wireless communication device for electronic messaging</w:t>
            </w:r>
            <w:r>
              <w:t xml:space="preserve"> while operating a motor vehicle</w:t>
            </w:r>
            <w:r>
              <w:t xml:space="preserve">. </w:t>
            </w:r>
          </w:p>
          <w:p w:rsidR="00677B09" w:rsidRDefault="00C134BC" w:rsidP="00CA1D10">
            <w:pPr>
              <w:pStyle w:val="Header"/>
              <w:contextualSpacing/>
              <w:jc w:val="both"/>
            </w:pPr>
          </w:p>
          <w:p w:rsidR="00280B70" w:rsidRDefault="00C134BC" w:rsidP="00CA1D10">
            <w:pPr>
              <w:pStyle w:val="Header"/>
              <w:contextualSpacing/>
              <w:jc w:val="both"/>
            </w:pPr>
            <w:r>
              <w:t>C.S.</w:t>
            </w:r>
            <w:r>
              <w:t>H.B. 2048 increases from $30 to $50 the</w:t>
            </w:r>
            <w:r>
              <w:t xml:space="preserve"> amount of a</w:t>
            </w:r>
            <w:r>
              <w:t xml:space="preserve"> state</w:t>
            </w:r>
            <w:r>
              <w:t xml:space="preserve"> traffic fine </w:t>
            </w:r>
            <w:r>
              <w:t>and decreases</w:t>
            </w:r>
            <w:r>
              <w:t xml:space="preserve"> from </w:t>
            </w:r>
            <w:r>
              <w:t xml:space="preserve">five </w:t>
            </w:r>
            <w:r>
              <w:t xml:space="preserve">percent to </w:t>
            </w:r>
            <w:r>
              <w:t xml:space="preserve">four </w:t>
            </w:r>
            <w:r>
              <w:t xml:space="preserve">percent </w:t>
            </w:r>
            <w:r>
              <w:t xml:space="preserve">of </w:t>
            </w:r>
            <w:r>
              <w:t xml:space="preserve">the </w:t>
            </w:r>
            <w:r>
              <w:t xml:space="preserve">money collected </w:t>
            </w:r>
            <w:r>
              <w:t>by</w:t>
            </w:r>
            <w:r>
              <w:t xml:space="preserve"> a municipality or county </w:t>
            </w:r>
            <w:r>
              <w:t xml:space="preserve">for a state traffic fine </w:t>
            </w:r>
            <w:r>
              <w:t xml:space="preserve">the amount of money </w:t>
            </w:r>
            <w:r>
              <w:t xml:space="preserve">that the municipality or county may </w:t>
            </w:r>
            <w:r>
              <w:t xml:space="preserve">retain as a service fee. The bill </w:t>
            </w:r>
            <w:r>
              <w:t>changes the allocation formu</w:t>
            </w:r>
            <w:r>
              <w:t xml:space="preserve">la by which the comptroller of public accounts is required to deposit money received from state traffic fines by </w:t>
            </w:r>
            <w:r>
              <w:t>increas</w:t>
            </w:r>
            <w:r>
              <w:t>ing</w:t>
            </w:r>
            <w:r>
              <w:t xml:space="preserve"> from 67 percent to </w:t>
            </w:r>
            <w:r>
              <w:t xml:space="preserve">80 </w:t>
            </w:r>
            <w:r>
              <w:t xml:space="preserve">percent </w:t>
            </w:r>
            <w:r>
              <w:t xml:space="preserve">of that money </w:t>
            </w:r>
            <w:r>
              <w:t>the amount deposit</w:t>
            </w:r>
            <w:r>
              <w:t>ed</w:t>
            </w:r>
            <w:r>
              <w:t xml:space="preserve"> to the credit of the undedicated portion of the general revenue fun</w:t>
            </w:r>
            <w:r>
              <w:t xml:space="preserve">d </w:t>
            </w:r>
            <w:r>
              <w:t xml:space="preserve">and </w:t>
            </w:r>
            <w:r>
              <w:t xml:space="preserve">by </w:t>
            </w:r>
            <w:r>
              <w:t>decreas</w:t>
            </w:r>
            <w:r>
              <w:t>ing</w:t>
            </w:r>
            <w:r>
              <w:t xml:space="preserve"> from 33 percent to </w:t>
            </w:r>
            <w:r>
              <w:t xml:space="preserve">20 </w:t>
            </w:r>
            <w:r>
              <w:t>percent the amount deposit</w:t>
            </w:r>
            <w:r>
              <w:t>ed</w:t>
            </w:r>
            <w:r>
              <w:t xml:space="preserve"> to </w:t>
            </w:r>
            <w:r w:rsidRPr="00964617">
              <w:t>the credit of the designated trauma facility and emergency medical services account</w:t>
            </w:r>
            <w:r>
              <w:t>.</w:t>
            </w:r>
          </w:p>
          <w:p w:rsidR="00280B70" w:rsidRDefault="00C134BC" w:rsidP="00CA1D10">
            <w:pPr>
              <w:pStyle w:val="Header"/>
              <w:contextualSpacing/>
              <w:jc w:val="both"/>
            </w:pPr>
          </w:p>
          <w:p w:rsidR="00594DD0" w:rsidRDefault="00C134BC" w:rsidP="00CA1D10">
            <w:pPr>
              <w:pStyle w:val="Header"/>
              <w:contextualSpacing/>
              <w:jc w:val="both"/>
            </w:pPr>
            <w:r>
              <w:t>C.S.</w:t>
            </w:r>
            <w:r>
              <w:t xml:space="preserve">H.B. 2048 </w:t>
            </w:r>
            <w:r>
              <w:t>require</w:t>
            </w:r>
            <w:r>
              <w:t>s</w:t>
            </w:r>
            <w:r>
              <w:t xml:space="preserve"> </w:t>
            </w:r>
            <w:r w:rsidRPr="006B0AD1">
              <w:t>a person who has been finally convicted of an offense relating to the ope</w:t>
            </w:r>
            <w:r w:rsidRPr="006B0AD1">
              <w:t>rating of a motor vehicle while intoxicated</w:t>
            </w:r>
            <w:r>
              <w:t xml:space="preserve"> to pay, in addition to the fine prescribed for the specific offense</w:t>
            </w:r>
            <w:r>
              <w:t>,</w:t>
            </w:r>
            <w:r>
              <w:t xml:space="preserve"> </w:t>
            </w:r>
            <w:r>
              <w:t xml:space="preserve">a </w:t>
            </w:r>
            <w:r>
              <w:t>fine of:</w:t>
            </w:r>
          </w:p>
          <w:p w:rsidR="00594DD0" w:rsidRDefault="00C134BC" w:rsidP="00CA1D10">
            <w:pPr>
              <w:pStyle w:val="Header"/>
              <w:numPr>
                <w:ilvl w:val="0"/>
                <w:numId w:val="2"/>
              </w:numPr>
              <w:spacing w:before="120" w:after="120"/>
              <w:contextualSpacing/>
              <w:jc w:val="both"/>
            </w:pPr>
            <w:r>
              <w:t>$3,000 for the first conviction within a 36-month period</w:t>
            </w:r>
            <w:r>
              <w:t>;</w:t>
            </w:r>
            <w:r>
              <w:t xml:space="preserve"> </w:t>
            </w:r>
          </w:p>
          <w:p w:rsidR="00594DD0" w:rsidRDefault="00C134BC" w:rsidP="00CA1D10">
            <w:pPr>
              <w:pStyle w:val="Header"/>
              <w:numPr>
                <w:ilvl w:val="0"/>
                <w:numId w:val="2"/>
              </w:numPr>
              <w:spacing w:before="120" w:after="120"/>
              <w:contextualSpacing/>
              <w:jc w:val="both"/>
            </w:pPr>
            <w:r>
              <w:t>$4,500 for a second or subsequent conviction within a 36-month period</w:t>
            </w:r>
            <w:r>
              <w:t xml:space="preserve">; </w:t>
            </w:r>
            <w:r>
              <w:t>and</w:t>
            </w:r>
            <w:r>
              <w:t xml:space="preserve"> </w:t>
            </w:r>
          </w:p>
          <w:p w:rsidR="00594DD0" w:rsidRDefault="00C134BC" w:rsidP="00CA1D10">
            <w:pPr>
              <w:pStyle w:val="Header"/>
              <w:numPr>
                <w:ilvl w:val="0"/>
                <w:numId w:val="2"/>
              </w:numPr>
              <w:spacing w:before="120" w:after="120"/>
              <w:contextualSpacing/>
              <w:jc w:val="both"/>
            </w:pPr>
            <w:r>
              <w:t>$6,000 for a first or subsequent conviction if it is shown on the trial of the offense that an analysis of a specimen of the person's blood, breath, or urine showed an alcohol concentration level of 0.16 or more at the time the analysis was performed.</w:t>
            </w:r>
            <w:r>
              <w:t xml:space="preserve"> </w:t>
            </w:r>
          </w:p>
          <w:p w:rsidR="008423E4" w:rsidRDefault="00C134BC" w:rsidP="00CA1D10">
            <w:pPr>
              <w:pStyle w:val="Header"/>
              <w:contextualSpacing/>
              <w:jc w:val="both"/>
            </w:pPr>
            <w:r>
              <w:rPr>
                <w:color w:val="000000"/>
              </w:rPr>
              <w:t>The bill sets out provisions relating to recordkeeping and reporting requirements for those additional fines, to the deposit and remittance of those additional fines, to retention of certain collected money and interest accrued on that money by a municip</w:t>
            </w:r>
            <w:r>
              <w:rPr>
                <w:color w:val="000000"/>
              </w:rPr>
              <w:t>ality or county, and to the comptroller's deposit of the remitted fines</w:t>
            </w:r>
            <w:r>
              <w:t xml:space="preserve">. The bill subjects money collected </w:t>
            </w:r>
            <w:r>
              <w:t>from those fines</w:t>
            </w:r>
            <w:r>
              <w:t xml:space="preserve"> to audit by the comptroller and money spent to audit by the state auditor. </w:t>
            </w:r>
          </w:p>
          <w:p w:rsidR="00F41950" w:rsidRDefault="00C134BC" w:rsidP="00CA1D10">
            <w:pPr>
              <w:pStyle w:val="Header"/>
              <w:contextualSpacing/>
              <w:jc w:val="both"/>
            </w:pPr>
          </w:p>
          <w:p w:rsidR="00875355" w:rsidRDefault="00C134BC" w:rsidP="00CA1D10">
            <w:pPr>
              <w:pStyle w:val="Header"/>
              <w:contextualSpacing/>
              <w:jc w:val="both"/>
            </w:pPr>
            <w:r>
              <w:t xml:space="preserve">C.S.H.B. 2048 amends the Education Code to </w:t>
            </w:r>
            <w:r>
              <w:t xml:space="preserve">require </w:t>
            </w:r>
            <w:r>
              <w:t xml:space="preserve">the </w:t>
            </w:r>
            <w:r>
              <w:t xml:space="preserve">rules provided by the </w:t>
            </w:r>
            <w:r>
              <w:t xml:space="preserve">Texas Commission of Licensing and Regulation for approval of a </w:t>
            </w:r>
            <w:r>
              <w:t xml:space="preserve">parent-taught </w:t>
            </w:r>
            <w:r>
              <w:t xml:space="preserve">driver education course </w:t>
            </w:r>
            <w:r>
              <w:t>to provide</w:t>
            </w:r>
            <w:r>
              <w:t xml:space="preserve"> that the person conducting the course </w:t>
            </w:r>
            <w:r>
              <w:t>has not been convicted during the preceding three years of three or more moving viol</w:t>
            </w:r>
            <w:r>
              <w:t xml:space="preserve">ations </w:t>
            </w:r>
            <w:r>
              <w:t xml:space="preserve">as designated by DPS rule under the bill's provisions </w:t>
            </w:r>
            <w:r>
              <w:t>or two or more moving violations that resulted in an accident</w:t>
            </w:r>
            <w:r>
              <w:t>, also so designated</w:t>
            </w:r>
            <w:r>
              <w:t>.</w:t>
            </w:r>
          </w:p>
          <w:p w:rsidR="00964617" w:rsidRDefault="00C134BC" w:rsidP="00CA1D10">
            <w:pPr>
              <w:pStyle w:val="Header"/>
              <w:contextualSpacing/>
              <w:jc w:val="both"/>
            </w:pPr>
          </w:p>
          <w:p w:rsidR="00964617" w:rsidRDefault="00C134BC" w:rsidP="00CA1D10">
            <w:pPr>
              <w:pStyle w:val="Header"/>
              <w:contextualSpacing/>
              <w:jc w:val="both"/>
            </w:pPr>
            <w:r>
              <w:t>C.S.H.B. 2048 amends the Health and Safety Code</w:t>
            </w:r>
            <w:r>
              <w:t xml:space="preserve"> to</w:t>
            </w:r>
            <w:r>
              <w:t xml:space="preserve"> </w:t>
            </w:r>
            <w:r w:rsidRPr="002638B4">
              <w:t>remove provisions relating to the disposition of the surchar</w:t>
            </w:r>
            <w:r w:rsidRPr="002638B4">
              <w:t>ges collected under the driver responsibility program to certain funds, including the general revenue fund and the designated trauma facility and emergency medical services account, and</w:t>
            </w:r>
            <w:r>
              <w:t xml:space="preserve"> </w:t>
            </w:r>
            <w:r>
              <w:t xml:space="preserve">to require the comptroller to </w:t>
            </w:r>
            <w:r w:rsidRPr="00964617">
              <w:t>deposit any gifts, grants, donations, an</w:t>
            </w:r>
            <w:r w:rsidRPr="00964617">
              <w:t>d legislative appropriations made for the purposes of the designated trauma facility and emergency medical services account</w:t>
            </w:r>
            <w:r>
              <w:t xml:space="preserve"> to the credit of th</w:t>
            </w:r>
            <w:r>
              <w:t>at</w:t>
            </w:r>
            <w:r>
              <w:t xml:space="preserve"> account.</w:t>
            </w:r>
          </w:p>
          <w:p w:rsidR="002638B4" w:rsidRDefault="00C134BC" w:rsidP="00CA1D10">
            <w:pPr>
              <w:pStyle w:val="Header"/>
              <w:contextualSpacing/>
              <w:jc w:val="both"/>
            </w:pPr>
          </w:p>
          <w:p w:rsidR="0064217B" w:rsidRDefault="00C134BC" w:rsidP="00CA1D10">
            <w:pPr>
              <w:pStyle w:val="Header"/>
              <w:contextualSpacing/>
              <w:jc w:val="both"/>
            </w:pPr>
            <w:r>
              <w:t>C.S.</w:t>
            </w:r>
            <w:r w:rsidRPr="00661B36">
              <w:t xml:space="preserve">H.B. 2048 amends the Revised Statutes to increase </w:t>
            </w:r>
            <w:r>
              <w:t>the amount of the fee required to be paid by a</w:t>
            </w:r>
            <w:r>
              <w:t xml:space="preserve"> motor vehicle insurer to the Automobile Burglary and Theft Prevention Authority </w:t>
            </w:r>
            <w:r w:rsidRPr="00661B36">
              <w:t xml:space="preserve">from $2 multiplied by the total number of motor vehicle years of insurance for insurance policies delivered, issued for delivery, or renewed by </w:t>
            </w:r>
            <w:r>
              <w:t xml:space="preserve">the </w:t>
            </w:r>
            <w:r w:rsidRPr="00661B36">
              <w:t>insurer</w:t>
            </w:r>
            <w:r w:rsidRPr="00661B36">
              <w:t xml:space="preserve"> </w:t>
            </w:r>
            <w:r w:rsidRPr="00661B36">
              <w:t xml:space="preserve">to $4 multiplied </w:t>
            </w:r>
            <w:r>
              <w:t>by</w:t>
            </w:r>
            <w:r>
              <w:t xml:space="preserve"> that number</w:t>
            </w:r>
            <w:r w:rsidRPr="00661B36">
              <w:t>. The bill revises the appropriation</w:t>
            </w:r>
            <w:r>
              <w:t xml:space="preserve"> and deposit</w:t>
            </w:r>
            <w:r w:rsidRPr="00661B36">
              <w:t xml:space="preserve"> of </w:t>
            </w:r>
            <w:r>
              <w:t>such collected</w:t>
            </w:r>
            <w:r w:rsidRPr="00661B36">
              <w:t xml:space="preserve"> </w:t>
            </w:r>
            <w:r w:rsidRPr="00661B36">
              <w:t xml:space="preserve">fees </w:t>
            </w:r>
            <w:r>
              <w:t>by</w:t>
            </w:r>
            <w:r w:rsidRPr="00661B36">
              <w:t xml:space="preserve"> requir</w:t>
            </w:r>
            <w:r>
              <w:t>ing</w:t>
            </w:r>
            <w:r w:rsidRPr="00661B36">
              <w:t xml:space="preserve"> 20 percent </w:t>
            </w:r>
            <w:r>
              <w:t xml:space="preserve">to </w:t>
            </w:r>
            <w:r w:rsidRPr="00661B36">
              <w:t xml:space="preserve">be appropriated for the purposes of </w:t>
            </w:r>
            <w:r>
              <w:t>the authority</w:t>
            </w:r>
            <w:r w:rsidRPr="00661B36">
              <w:t xml:space="preserve">, 20 percent </w:t>
            </w:r>
            <w:r>
              <w:t xml:space="preserve">to </w:t>
            </w:r>
            <w:r w:rsidRPr="00661B36">
              <w:t xml:space="preserve">be deposited to the credit of the general revenue fund, and 60 percent </w:t>
            </w:r>
            <w:r>
              <w:t xml:space="preserve">to </w:t>
            </w:r>
            <w:r w:rsidRPr="00661B36">
              <w:t>be dep</w:t>
            </w:r>
            <w:r w:rsidRPr="00661B36">
              <w:t xml:space="preserve">osited to the credit of the designated trauma facility and emergency medical services account. </w:t>
            </w:r>
          </w:p>
          <w:p w:rsidR="002638B4" w:rsidRDefault="00C134BC" w:rsidP="00CA1D10">
            <w:pPr>
              <w:pStyle w:val="Header"/>
              <w:contextualSpacing/>
              <w:jc w:val="both"/>
            </w:pPr>
          </w:p>
          <w:p w:rsidR="002638B4" w:rsidRDefault="00C134BC" w:rsidP="00CA1D10">
            <w:pPr>
              <w:pStyle w:val="Header"/>
              <w:contextualSpacing/>
              <w:jc w:val="both"/>
            </w:pPr>
            <w:r>
              <w:t>C.S.H.B. 2048 amends the Code of Criminal Procedure and the Government Code to make conforming changes</w:t>
            </w:r>
            <w:r>
              <w:t>.</w:t>
            </w:r>
          </w:p>
          <w:p w:rsidR="00AA6A3B" w:rsidRDefault="00C134BC" w:rsidP="00CA1D10">
            <w:pPr>
              <w:pStyle w:val="Header"/>
              <w:contextualSpacing/>
              <w:jc w:val="both"/>
            </w:pPr>
          </w:p>
          <w:p w:rsidR="00AA6A3B" w:rsidRDefault="00C134BC" w:rsidP="00CA1D10">
            <w:pPr>
              <w:pStyle w:val="Header"/>
              <w:contextualSpacing/>
              <w:jc w:val="both"/>
            </w:pPr>
            <w:r>
              <w:t xml:space="preserve">C.S.H.B. 2048 repeals </w:t>
            </w:r>
            <w:r>
              <w:t xml:space="preserve">Chapter </w:t>
            </w:r>
            <w:r>
              <w:t xml:space="preserve">708, Transportation </w:t>
            </w:r>
            <w:r>
              <w:t>Code.</w:t>
            </w:r>
          </w:p>
          <w:p w:rsidR="008423E4" w:rsidRPr="00835628" w:rsidRDefault="00C134BC" w:rsidP="00CA1D10">
            <w:pPr>
              <w:contextualSpacing/>
              <w:rPr>
                <w:b/>
              </w:rPr>
            </w:pPr>
          </w:p>
        </w:tc>
      </w:tr>
      <w:tr w:rsidR="00FF61F2" w:rsidTr="00345119">
        <w:tc>
          <w:tcPr>
            <w:tcW w:w="9576" w:type="dxa"/>
          </w:tcPr>
          <w:p w:rsidR="008423E4" w:rsidRPr="00A8133F" w:rsidRDefault="00C134BC" w:rsidP="00CA1D10">
            <w:pPr>
              <w:rPr>
                <w:b/>
              </w:rPr>
            </w:pPr>
            <w:r w:rsidRPr="009C1E9A">
              <w:rPr>
                <w:b/>
                <w:u w:val="single"/>
              </w:rPr>
              <w:t>EFFECTIVE DATE</w:t>
            </w:r>
            <w:r>
              <w:rPr>
                <w:b/>
              </w:rPr>
              <w:t xml:space="preserve"> </w:t>
            </w:r>
          </w:p>
          <w:p w:rsidR="008423E4" w:rsidRDefault="00C134BC" w:rsidP="00CA1D10"/>
          <w:p w:rsidR="008423E4" w:rsidRDefault="00C134BC" w:rsidP="00CA1D10">
            <w:pPr>
              <w:pStyle w:val="Header"/>
              <w:tabs>
                <w:tab w:val="clear" w:pos="4320"/>
                <w:tab w:val="clear" w:pos="8640"/>
              </w:tabs>
              <w:jc w:val="both"/>
            </w:pPr>
            <w:r>
              <w:t>September 1, 2019.</w:t>
            </w:r>
          </w:p>
          <w:p w:rsidR="00950198" w:rsidRDefault="00C134BC" w:rsidP="00CA1D10">
            <w:pPr>
              <w:pStyle w:val="Header"/>
              <w:tabs>
                <w:tab w:val="clear" w:pos="4320"/>
                <w:tab w:val="clear" w:pos="8640"/>
              </w:tabs>
              <w:jc w:val="both"/>
            </w:pPr>
          </w:p>
          <w:p w:rsidR="00632594" w:rsidRPr="00233FDB" w:rsidRDefault="00C134BC" w:rsidP="00CA1D10">
            <w:pPr>
              <w:pStyle w:val="Header"/>
              <w:tabs>
                <w:tab w:val="clear" w:pos="4320"/>
                <w:tab w:val="clear" w:pos="8640"/>
              </w:tabs>
              <w:jc w:val="both"/>
            </w:pPr>
          </w:p>
        </w:tc>
      </w:tr>
      <w:tr w:rsidR="00FF61F2" w:rsidTr="00345119">
        <w:tc>
          <w:tcPr>
            <w:tcW w:w="9576" w:type="dxa"/>
          </w:tcPr>
          <w:p w:rsidR="00826B30" w:rsidRDefault="00C134BC" w:rsidP="00CA1D10">
            <w:pPr>
              <w:jc w:val="both"/>
              <w:rPr>
                <w:b/>
                <w:u w:val="single"/>
              </w:rPr>
            </w:pPr>
            <w:r>
              <w:rPr>
                <w:b/>
                <w:u w:val="single"/>
              </w:rPr>
              <w:t>COMPARISON OF ORIGINAL AND SUBSTITUTE</w:t>
            </w:r>
          </w:p>
          <w:p w:rsidR="006F3846" w:rsidRDefault="00C134BC" w:rsidP="00CA1D10">
            <w:pPr>
              <w:jc w:val="both"/>
            </w:pPr>
          </w:p>
          <w:p w:rsidR="006F3846" w:rsidRDefault="00C134BC" w:rsidP="00CA1D10">
            <w:pPr>
              <w:jc w:val="both"/>
            </w:pPr>
            <w:r>
              <w:t xml:space="preserve">While C.S.H.B. 2048 may differ from the original in minor or nonsubstantive ways, the following summarizes the substantial differences between the introduced and </w:t>
            </w:r>
            <w:r>
              <w:t>committee substitute versions of the bill.</w:t>
            </w:r>
          </w:p>
          <w:p w:rsidR="006F3846" w:rsidRDefault="00C134BC" w:rsidP="00CA1D10">
            <w:pPr>
              <w:jc w:val="both"/>
            </w:pPr>
          </w:p>
          <w:p w:rsidR="006F3846" w:rsidRDefault="00C134BC" w:rsidP="002565E2">
            <w:pPr>
              <w:jc w:val="both"/>
            </w:pPr>
            <w:r>
              <w:t xml:space="preserve">The substitute changes the </w:t>
            </w:r>
            <w:r>
              <w:t xml:space="preserve">revised </w:t>
            </w:r>
            <w:r>
              <w:t xml:space="preserve">percentages of money received from state traffic fines </w:t>
            </w:r>
            <w:r>
              <w:t>required to be deposited by</w:t>
            </w:r>
            <w:r>
              <w:t xml:space="preserve"> the comptroller </w:t>
            </w:r>
            <w:r w:rsidRPr="00BF0D33">
              <w:t>to the credit of the undedicated portion of the general revenue fund</w:t>
            </w:r>
            <w:r>
              <w:t xml:space="preserve"> and to </w:t>
            </w:r>
            <w:r w:rsidRPr="00964617">
              <w:t>th</w:t>
            </w:r>
            <w:r w:rsidRPr="00964617">
              <w:t>e credit of the designated trauma facility and emergency medical services account</w:t>
            </w:r>
            <w:r>
              <w:t>.</w:t>
            </w:r>
            <w:r>
              <w:t xml:space="preserve"> </w:t>
            </w:r>
            <w:r>
              <w:t xml:space="preserve">The substitute </w:t>
            </w:r>
            <w:r>
              <w:t>revises the distribution amoun</w:t>
            </w:r>
            <w:r>
              <w:t>t of money received from the fines for</w:t>
            </w:r>
            <w:r>
              <w:t xml:space="preserve"> the</w:t>
            </w:r>
            <w:r>
              <w:t xml:space="preserve"> conviction of certain intoxicated drivers </w:t>
            </w:r>
            <w:r>
              <w:t>that</w:t>
            </w:r>
            <w:r>
              <w:t xml:space="preserve"> the comptroller is required to deposit</w:t>
            </w:r>
            <w:r>
              <w:t xml:space="preserve"> to the fund and account</w:t>
            </w:r>
            <w:r>
              <w:t>.</w:t>
            </w:r>
          </w:p>
          <w:p w:rsidR="006F3846" w:rsidRPr="006F3846" w:rsidRDefault="00C134BC" w:rsidP="00CA1D10">
            <w:pPr>
              <w:jc w:val="both"/>
            </w:pPr>
          </w:p>
        </w:tc>
      </w:tr>
      <w:tr w:rsidR="00FF61F2" w:rsidTr="00345119">
        <w:tc>
          <w:tcPr>
            <w:tcW w:w="9576" w:type="dxa"/>
          </w:tcPr>
          <w:p w:rsidR="00826B30" w:rsidRPr="009C1E9A" w:rsidRDefault="00C134BC" w:rsidP="00CA1D10">
            <w:pPr>
              <w:rPr>
                <w:b/>
                <w:u w:val="single"/>
              </w:rPr>
            </w:pPr>
          </w:p>
        </w:tc>
      </w:tr>
      <w:tr w:rsidR="00FF61F2" w:rsidTr="00345119">
        <w:tc>
          <w:tcPr>
            <w:tcW w:w="9576" w:type="dxa"/>
          </w:tcPr>
          <w:p w:rsidR="00826B30" w:rsidRPr="00826B30" w:rsidRDefault="00C134BC" w:rsidP="00CA1D10">
            <w:pPr>
              <w:jc w:val="both"/>
            </w:pPr>
          </w:p>
        </w:tc>
      </w:tr>
    </w:tbl>
    <w:p w:rsidR="008423E4" w:rsidRPr="00BE0E75" w:rsidRDefault="00C134BC" w:rsidP="008423E4">
      <w:pPr>
        <w:spacing w:line="480" w:lineRule="auto"/>
        <w:jc w:val="both"/>
        <w:rPr>
          <w:rFonts w:ascii="Arial" w:hAnsi="Arial"/>
          <w:sz w:val="16"/>
          <w:szCs w:val="16"/>
        </w:rPr>
      </w:pPr>
    </w:p>
    <w:p w:rsidR="004108C3" w:rsidRPr="008423E4" w:rsidRDefault="00C134BC"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134BC">
      <w:r>
        <w:separator/>
      </w:r>
    </w:p>
  </w:endnote>
  <w:endnote w:type="continuationSeparator" w:id="0">
    <w:p w:rsidR="00000000" w:rsidRDefault="00C1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13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F61F2" w:rsidTr="009C1E9A">
      <w:trPr>
        <w:cantSplit/>
      </w:trPr>
      <w:tc>
        <w:tcPr>
          <w:tcW w:w="0" w:type="pct"/>
        </w:tcPr>
        <w:p w:rsidR="00137D90" w:rsidRDefault="00C134BC" w:rsidP="009C1E9A">
          <w:pPr>
            <w:pStyle w:val="Footer"/>
            <w:tabs>
              <w:tab w:val="clear" w:pos="8640"/>
              <w:tab w:val="right" w:pos="9360"/>
            </w:tabs>
          </w:pPr>
        </w:p>
      </w:tc>
      <w:tc>
        <w:tcPr>
          <w:tcW w:w="2395" w:type="pct"/>
        </w:tcPr>
        <w:p w:rsidR="00137D90" w:rsidRDefault="00C134BC" w:rsidP="009C1E9A">
          <w:pPr>
            <w:pStyle w:val="Footer"/>
            <w:tabs>
              <w:tab w:val="clear" w:pos="8640"/>
              <w:tab w:val="right" w:pos="9360"/>
            </w:tabs>
          </w:pPr>
        </w:p>
        <w:p w:rsidR="001A4310" w:rsidRDefault="00C134BC" w:rsidP="009C1E9A">
          <w:pPr>
            <w:pStyle w:val="Footer"/>
            <w:tabs>
              <w:tab w:val="clear" w:pos="8640"/>
              <w:tab w:val="right" w:pos="9360"/>
            </w:tabs>
          </w:pPr>
        </w:p>
        <w:p w:rsidR="00137D90" w:rsidRDefault="00C134BC" w:rsidP="009C1E9A">
          <w:pPr>
            <w:pStyle w:val="Footer"/>
            <w:tabs>
              <w:tab w:val="clear" w:pos="8640"/>
              <w:tab w:val="right" w:pos="9360"/>
            </w:tabs>
          </w:pPr>
        </w:p>
      </w:tc>
      <w:tc>
        <w:tcPr>
          <w:tcW w:w="2453" w:type="pct"/>
        </w:tcPr>
        <w:p w:rsidR="00137D90" w:rsidRDefault="00C134BC" w:rsidP="009C1E9A">
          <w:pPr>
            <w:pStyle w:val="Footer"/>
            <w:tabs>
              <w:tab w:val="clear" w:pos="8640"/>
              <w:tab w:val="right" w:pos="9360"/>
            </w:tabs>
            <w:jc w:val="right"/>
          </w:pPr>
        </w:p>
      </w:tc>
    </w:tr>
    <w:tr w:rsidR="00FF61F2" w:rsidTr="009C1E9A">
      <w:trPr>
        <w:cantSplit/>
      </w:trPr>
      <w:tc>
        <w:tcPr>
          <w:tcW w:w="0" w:type="pct"/>
        </w:tcPr>
        <w:p w:rsidR="00EC379B" w:rsidRDefault="00C134BC" w:rsidP="009C1E9A">
          <w:pPr>
            <w:pStyle w:val="Footer"/>
            <w:tabs>
              <w:tab w:val="clear" w:pos="8640"/>
              <w:tab w:val="right" w:pos="9360"/>
            </w:tabs>
          </w:pPr>
        </w:p>
      </w:tc>
      <w:tc>
        <w:tcPr>
          <w:tcW w:w="2395" w:type="pct"/>
        </w:tcPr>
        <w:p w:rsidR="00EC379B" w:rsidRPr="009C1E9A" w:rsidRDefault="00C134BC" w:rsidP="009C1E9A">
          <w:pPr>
            <w:pStyle w:val="Footer"/>
            <w:tabs>
              <w:tab w:val="clear" w:pos="8640"/>
              <w:tab w:val="right" w:pos="9360"/>
            </w:tabs>
            <w:rPr>
              <w:rFonts w:ascii="Shruti" w:hAnsi="Shruti"/>
              <w:sz w:val="22"/>
            </w:rPr>
          </w:pPr>
          <w:r>
            <w:rPr>
              <w:rFonts w:ascii="Shruti" w:hAnsi="Shruti"/>
              <w:sz w:val="22"/>
            </w:rPr>
            <w:t>86R 25747</w:t>
          </w:r>
        </w:p>
      </w:tc>
      <w:tc>
        <w:tcPr>
          <w:tcW w:w="2453" w:type="pct"/>
        </w:tcPr>
        <w:p w:rsidR="00EC379B" w:rsidRDefault="00C134BC" w:rsidP="009C1E9A">
          <w:pPr>
            <w:pStyle w:val="Footer"/>
            <w:tabs>
              <w:tab w:val="clear" w:pos="8640"/>
              <w:tab w:val="right" w:pos="9360"/>
            </w:tabs>
            <w:jc w:val="right"/>
          </w:pPr>
          <w:r>
            <w:fldChar w:fldCharType="begin"/>
          </w:r>
          <w:r>
            <w:instrText xml:space="preserve"> DOCPROPERTY  OTID  \* MERGEFORMAT </w:instrText>
          </w:r>
          <w:r>
            <w:fldChar w:fldCharType="separate"/>
          </w:r>
          <w:r>
            <w:t>19.99.51</w:t>
          </w:r>
          <w:r>
            <w:fldChar w:fldCharType="end"/>
          </w:r>
        </w:p>
      </w:tc>
    </w:tr>
    <w:tr w:rsidR="00FF61F2" w:rsidTr="009C1E9A">
      <w:trPr>
        <w:cantSplit/>
      </w:trPr>
      <w:tc>
        <w:tcPr>
          <w:tcW w:w="0" w:type="pct"/>
        </w:tcPr>
        <w:p w:rsidR="00EC379B" w:rsidRDefault="00C134BC" w:rsidP="009C1E9A">
          <w:pPr>
            <w:pStyle w:val="Footer"/>
            <w:tabs>
              <w:tab w:val="clear" w:pos="4320"/>
              <w:tab w:val="clear" w:pos="8640"/>
              <w:tab w:val="left" w:pos="2865"/>
            </w:tabs>
          </w:pPr>
        </w:p>
      </w:tc>
      <w:tc>
        <w:tcPr>
          <w:tcW w:w="2395" w:type="pct"/>
        </w:tcPr>
        <w:p w:rsidR="00EC379B" w:rsidRPr="009C1E9A" w:rsidRDefault="00C134BC" w:rsidP="009C1E9A">
          <w:pPr>
            <w:pStyle w:val="Footer"/>
            <w:tabs>
              <w:tab w:val="clear" w:pos="4320"/>
              <w:tab w:val="clear" w:pos="8640"/>
              <w:tab w:val="left" w:pos="2865"/>
            </w:tabs>
            <w:rPr>
              <w:rFonts w:ascii="Shruti" w:hAnsi="Shruti"/>
              <w:sz w:val="22"/>
            </w:rPr>
          </w:pPr>
          <w:r>
            <w:rPr>
              <w:rFonts w:ascii="Shruti" w:hAnsi="Shruti"/>
              <w:sz w:val="22"/>
            </w:rPr>
            <w:t>Substitute Document Number: 86R 19930</w:t>
          </w:r>
        </w:p>
      </w:tc>
      <w:tc>
        <w:tcPr>
          <w:tcW w:w="2453" w:type="pct"/>
        </w:tcPr>
        <w:p w:rsidR="00EC379B" w:rsidRDefault="00C134BC" w:rsidP="006D504F">
          <w:pPr>
            <w:pStyle w:val="Footer"/>
            <w:rPr>
              <w:rStyle w:val="PageNumber"/>
            </w:rPr>
          </w:pPr>
        </w:p>
        <w:p w:rsidR="00EC379B" w:rsidRDefault="00C134BC" w:rsidP="009C1E9A">
          <w:pPr>
            <w:pStyle w:val="Footer"/>
            <w:tabs>
              <w:tab w:val="clear" w:pos="8640"/>
              <w:tab w:val="right" w:pos="9360"/>
            </w:tabs>
            <w:jc w:val="right"/>
          </w:pPr>
        </w:p>
      </w:tc>
    </w:tr>
    <w:tr w:rsidR="00FF61F2" w:rsidTr="009C1E9A">
      <w:trPr>
        <w:cantSplit/>
        <w:trHeight w:val="323"/>
      </w:trPr>
      <w:tc>
        <w:tcPr>
          <w:tcW w:w="0" w:type="pct"/>
          <w:gridSpan w:val="3"/>
        </w:tcPr>
        <w:p w:rsidR="00EC379B" w:rsidRDefault="00C134B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C134BC" w:rsidP="009C1E9A">
          <w:pPr>
            <w:pStyle w:val="Footer"/>
            <w:tabs>
              <w:tab w:val="clear" w:pos="8640"/>
              <w:tab w:val="right" w:pos="9360"/>
            </w:tabs>
            <w:jc w:val="center"/>
          </w:pPr>
        </w:p>
      </w:tc>
    </w:tr>
  </w:tbl>
  <w:p w:rsidR="00EC379B" w:rsidRPr="00FF6F72" w:rsidRDefault="00C134B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1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134BC">
      <w:r>
        <w:separator/>
      </w:r>
    </w:p>
  </w:footnote>
  <w:footnote w:type="continuationSeparator" w:id="0">
    <w:p w:rsidR="00000000" w:rsidRDefault="00C13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13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13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1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F248F"/>
    <w:multiLevelType w:val="hybridMultilevel"/>
    <w:tmpl w:val="7A00EB96"/>
    <w:lvl w:ilvl="0" w:tplc="C21E761C">
      <w:start w:val="1"/>
      <w:numFmt w:val="bullet"/>
      <w:lvlText w:val=""/>
      <w:lvlJc w:val="left"/>
      <w:pPr>
        <w:tabs>
          <w:tab w:val="num" w:pos="720"/>
        </w:tabs>
        <w:ind w:left="720" w:hanging="360"/>
      </w:pPr>
      <w:rPr>
        <w:rFonts w:ascii="Symbol" w:hAnsi="Symbol" w:hint="default"/>
      </w:rPr>
    </w:lvl>
    <w:lvl w:ilvl="1" w:tplc="8F147272" w:tentative="1">
      <w:start w:val="1"/>
      <w:numFmt w:val="bullet"/>
      <w:lvlText w:val="o"/>
      <w:lvlJc w:val="left"/>
      <w:pPr>
        <w:ind w:left="1440" w:hanging="360"/>
      </w:pPr>
      <w:rPr>
        <w:rFonts w:ascii="Courier New" w:hAnsi="Courier New" w:cs="Courier New" w:hint="default"/>
      </w:rPr>
    </w:lvl>
    <w:lvl w:ilvl="2" w:tplc="03D8E248" w:tentative="1">
      <w:start w:val="1"/>
      <w:numFmt w:val="bullet"/>
      <w:lvlText w:val=""/>
      <w:lvlJc w:val="left"/>
      <w:pPr>
        <w:ind w:left="2160" w:hanging="360"/>
      </w:pPr>
      <w:rPr>
        <w:rFonts w:ascii="Wingdings" w:hAnsi="Wingdings" w:hint="default"/>
      </w:rPr>
    </w:lvl>
    <w:lvl w:ilvl="3" w:tplc="6172F152" w:tentative="1">
      <w:start w:val="1"/>
      <w:numFmt w:val="bullet"/>
      <w:lvlText w:val=""/>
      <w:lvlJc w:val="left"/>
      <w:pPr>
        <w:ind w:left="2880" w:hanging="360"/>
      </w:pPr>
      <w:rPr>
        <w:rFonts w:ascii="Symbol" w:hAnsi="Symbol" w:hint="default"/>
      </w:rPr>
    </w:lvl>
    <w:lvl w:ilvl="4" w:tplc="690692D4" w:tentative="1">
      <w:start w:val="1"/>
      <w:numFmt w:val="bullet"/>
      <w:lvlText w:val="o"/>
      <w:lvlJc w:val="left"/>
      <w:pPr>
        <w:ind w:left="3600" w:hanging="360"/>
      </w:pPr>
      <w:rPr>
        <w:rFonts w:ascii="Courier New" w:hAnsi="Courier New" w:cs="Courier New" w:hint="default"/>
      </w:rPr>
    </w:lvl>
    <w:lvl w:ilvl="5" w:tplc="77789AD2" w:tentative="1">
      <w:start w:val="1"/>
      <w:numFmt w:val="bullet"/>
      <w:lvlText w:val=""/>
      <w:lvlJc w:val="left"/>
      <w:pPr>
        <w:ind w:left="4320" w:hanging="360"/>
      </w:pPr>
      <w:rPr>
        <w:rFonts w:ascii="Wingdings" w:hAnsi="Wingdings" w:hint="default"/>
      </w:rPr>
    </w:lvl>
    <w:lvl w:ilvl="6" w:tplc="04A45718" w:tentative="1">
      <w:start w:val="1"/>
      <w:numFmt w:val="bullet"/>
      <w:lvlText w:val=""/>
      <w:lvlJc w:val="left"/>
      <w:pPr>
        <w:ind w:left="5040" w:hanging="360"/>
      </w:pPr>
      <w:rPr>
        <w:rFonts w:ascii="Symbol" w:hAnsi="Symbol" w:hint="default"/>
      </w:rPr>
    </w:lvl>
    <w:lvl w:ilvl="7" w:tplc="B240DCAA" w:tentative="1">
      <w:start w:val="1"/>
      <w:numFmt w:val="bullet"/>
      <w:lvlText w:val="o"/>
      <w:lvlJc w:val="left"/>
      <w:pPr>
        <w:ind w:left="5760" w:hanging="360"/>
      </w:pPr>
      <w:rPr>
        <w:rFonts w:ascii="Courier New" w:hAnsi="Courier New" w:cs="Courier New" w:hint="default"/>
      </w:rPr>
    </w:lvl>
    <w:lvl w:ilvl="8" w:tplc="031E1578" w:tentative="1">
      <w:start w:val="1"/>
      <w:numFmt w:val="bullet"/>
      <w:lvlText w:val=""/>
      <w:lvlJc w:val="left"/>
      <w:pPr>
        <w:ind w:left="6480" w:hanging="360"/>
      </w:pPr>
      <w:rPr>
        <w:rFonts w:ascii="Wingdings" w:hAnsi="Wingdings" w:hint="default"/>
      </w:rPr>
    </w:lvl>
  </w:abstractNum>
  <w:abstractNum w:abstractNumId="1" w15:restartNumberingAfterBreak="0">
    <w:nsid w:val="3A340DC0"/>
    <w:multiLevelType w:val="hybridMultilevel"/>
    <w:tmpl w:val="5816B83E"/>
    <w:lvl w:ilvl="0" w:tplc="F482B80E">
      <w:start w:val="1"/>
      <w:numFmt w:val="bullet"/>
      <w:lvlText w:val=""/>
      <w:lvlJc w:val="left"/>
      <w:pPr>
        <w:tabs>
          <w:tab w:val="num" w:pos="720"/>
        </w:tabs>
        <w:ind w:left="720" w:hanging="360"/>
      </w:pPr>
      <w:rPr>
        <w:rFonts w:ascii="Symbol" w:hAnsi="Symbol" w:hint="default"/>
      </w:rPr>
    </w:lvl>
    <w:lvl w:ilvl="1" w:tplc="91365202" w:tentative="1">
      <w:start w:val="1"/>
      <w:numFmt w:val="bullet"/>
      <w:lvlText w:val="o"/>
      <w:lvlJc w:val="left"/>
      <w:pPr>
        <w:ind w:left="1440" w:hanging="360"/>
      </w:pPr>
      <w:rPr>
        <w:rFonts w:ascii="Courier New" w:hAnsi="Courier New" w:cs="Courier New" w:hint="default"/>
      </w:rPr>
    </w:lvl>
    <w:lvl w:ilvl="2" w:tplc="A6569B66" w:tentative="1">
      <w:start w:val="1"/>
      <w:numFmt w:val="bullet"/>
      <w:lvlText w:val=""/>
      <w:lvlJc w:val="left"/>
      <w:pPr>
        <w:ind w:left="2160" w:hanging="360"/>
      </w:pPr>
      <w:rPr>
        <w:rFonts w:ascii="Wingdings" w:hAnsi="Wingdings" w:hint="default"/>
      </w:rPr>
    </w:lvl>
    <w:lvl w:ilvl="3" w:tplc="3E6C43FC" w:tentative="1">
      <w:start w:val="1"/>
      <w:numFmt w:val="bullet"/>
      <w:lvlText w:val=""/>
      <w:lvlJc w:val="left"/>
      <w:pPr>
        <w:ind w:left="2880" w:hanging="360"/>
      </w:pPr>
      <w:rPr>
        <w:rFonts w:ascii="Symbol" w:hAnsi="Symbol" w:hint="default"/>
      </w:rPr>
    </w:lvl>
    <w:lvl w:ilvl="4" w:tplc="7C10EC5E" w:tentative="1">
      <w:start w:val="1"/>
      <w:numFmt w:val="bullet"/>
      <w:lvlText w:val="o"/>
      <w:lvlJc w:val="left"/>
      <w:pPr>
        <w:ind w:left="3600" w:hanging="360"/>
      </w:pPr>
      <w:rPr>
        <w:rFonts w:ascii="Courier New" w:hAnsi="Courier New" w:cs="Courier New" w:hint="default"/>
      </w:rPr>
    </w:lvl>
    <w:lvl w:ilvl="5" w:tplc="526EADC8" w:tentative="1">
      <w:start w:val="1"/>
      <w:numFmt w:val="bullet"/>
      <w:lvlText w:val=""/>
      <w:lvlJc w:val="left"/>
      <w:pPr>
        <w:ind w:left="4320" w:hanging="360"/>
      </w:pPr>
      <w:rPr>
        <w:rFonts w:ascii="Wingdings" w:hAnsi="Wingdings" w:hint="default"/>
      </w:rPr>
    </w:lvl>
    <w:lvl w:ilvl="6" w:tplc="6172CA92" w:tentative="1">
      <w:start w:val="1"/>
      <w:numFmt w:val="bullet"/>
      <w:lvlText w:val=""/>
      <w:lvlJc w:val="left"/>
      <w:pPr>
        <w:ind w:left="5040" w:hanging="360"/>
      </w:pPr>
      <w:rPr>
        <w:rFonts w:ascii="Symbol" w:hAnsi="Symbol" w:hint="default"/>
      </w:rPr>
    </w:lvl>
    <w:lvl w:ilvl="7" w:tplc="B87AAE76" w:tentative="1">
      <w:start w:val="1"/>
      <w:numFmt w:val="bullet"/>
      <w:lvlText w:val="o"/>
      <w:lvlJc w:val="left"/>
      <w:pPr>
        <w:ind w:left="5760" w:hanging="360"/>
      </w:pPr>
      <w:rPr>
        <w:rFonts w:ascii="Courier New" w:hAnsi="Courier New" w:cs="Courier New" w:hint="default"/>
      </w:rPr>
    </w:lvl>
    <w:lvl w:ilvl="8" w:tplc="5D32C0E8" w:tentative="1">
      <w:start w:val="1"/>
      <w:numFmt w:val="bullet"/>
      <w:lvlText w:val=""/>
      <w:lvlJc w:val="left"/>
      <w:pPr>
        <w:ind w:left="6480" w:hanging="360"/>
      </w:pPr>
      <w:rPr>
        <w:rFonts w:ascii="Wingdings" w:hAnsi="Wingdings" w:hint="default"/>
      </w:rPr>
    </w:lvl>
  </w:abstractNum>
  <w:abstractNum w:abstractNumId="2" w15:restartNumberingAfterBreak="0">
    <w:nsid w:val="7E500971"/>
    <w:multiLevelType w:val="hybridMultilevel"/>
    <w:tmpl w:val="B5063BFA"/>
    <w:lvl w:ilvl="0" w:tplc="3D266B48">
      <w:start w:val="1"/>
      <w:numFmt w:val="bullet"/>
      <w:lvlText w:val=""/>
      <w:lvlJc w:val="left"/>
      <w:pPr>
        <w:tabs>
          <w:tab w:val="num" w:pos="720"/>
        </w:tabs>
        <w:ind w:left="720" w:hanging="360"/>
      </w:pPr>
      <w:rPr>
        <w:rFonts w:ascii="Symbol" w:hAnsi="Symbol" w:hint="default"/>
      </w:rPr>
    </w:lvl>
    <w:lvl w:ilvl="1" w:tplc="2AE2973C" w:tentative="1">
      <w:start w:val="1"/>
      <w:numFmt w:val="bullet"/>
      <w:lvlText w:val="o"/>
      <w:lvlJc w:val="left"/>
      <w:pPr>
        <w:ind w:left="1440" w:hanging="360"/>
      </w:pPr>
      <w:rPr>
        <w:rFonts w:ascii="Courier New" w:hAnsi="Courier New" w:cs="Courier New" w:hint="default"/>
      </w:rPr>
    </w:lvl>
    <w:lvl w:ilvl="2" w:tplc="798C74E0" w:tentative="1">
      <w:start w:val="1"/>
      <w:numFmt w:val="bullet"/>
      <w:lvlText w:val=""/>
      <w:lvlJc w:val="left"/>
      <w:pPr>
        <w:ind w:left="2160" w:hanging="360"/>
      </w:pPr>
      <w:rPr>
        <w:rFonts w:ascii="Wingdings" w:hAnsi="Wingdings" w:hint="default"/>
      </w:rPr>
    </w:lvl>
    <w:lvl w:ilvl="3" w:tplc="30906312" w:tentative="1">
      <w:start w:val="1"/>
      <w:numFmt w:val="bullet"/>
      <w:lvlText w:val=""/>
      <w:lvlJc w:val="left"/>
      <w:pPr>
        <w:ind w:left="2880" w:hanging="360"/>
      </w:pPr>
      <w:rPr>
        <w:rFonts w:ascii="Symbol" w:hAnsi="Symbol" w:hint="default"/>
      </w:rPr>
    </w:lvl>
    <w:lvl w:ilvl="4" w:tplc="33C473D0" w:tentative="1">
      <w:start w:val="1"/>
      <w:numFmt w:val="bullet"/>
      <w:lvlText w:val="o"/>
      <w:lvlJc w:val="left"/>
      <w:pPr>
        <w:ind w:left="3600" w:hanging="360"/>
      </w:pPr>
      <w:rPr>
        <w:rFonts w:ascii="Courier New" w:hAnsi="Courier New" w:cs="Courier New" w:hint="default"/>
      </w:rPr>
    </w:lvl>
    <w:lvl w:ilvl="5" w:tplc="88B03DA6" w:tentative="1">
      <w:start w:val="1"/>
      <w:numFmt w:val="bullet"/>
      <w:lvlText w:val=""/>
      <w:lvlJc w:val="left"/>
      <w:pPr>
        <w:ind w:left="4320" w:hanging="360"/>
      </w:pPr>
      <w:rPr>
        <w:rFonts w:ascii="Wingdings" w:hAnsi="Wingdings" w:hint="default"/>
      </w:rPr>
    </w:lvl>
    <w:lvl w:ilvl="6" w:tplc="807EEBDC" w:tentative="1">
      <w:start w:val="1"/>
      <w:numFmt w:val="bullet"/>
      <w:lvlText w:val=""/>
      <w:lvlJc w:val="left"/>
      <w:pPr>
        <w:ind w:left="5040" w:hanging="360"/>
      </w:pPr>
      <w:rPr>
        <w:rFonts w:ascii="Symbol" w:hAnsi="Symbol" w:hint="default"/>
      </w:rPr>
    </w:lvl>
    <w:lvl w:ilvl="7" w:tplc="DFFE99AC" w:tentative="1">
      <w:start w:val="1"/>
      <w:numFmt w:val="bullet"/>
      <w:lvlText w:val="o"/>
      <w:lvlJc w:val="left"/>
      <w:pPr>
        <w:ind w:left="5760" w:hanging="360"/>
      </w:pPr>
      <w:rPr>
        <w:rFonts w:ascii="Courier New" w:hAnsi="Courier New" w:cs="Courier New" w:hint="default"/>
      </w:rPr>
    </w:lvl>
    <w:lvl w:ilvl="8" w:tplc="E6D4F5B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F2"/>
    <w:rsid w:val="00C134BC"/>
    <w:rsid w:val="00FF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196857-F1A9-4F64-85DF-89A4501C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B0AD1"/>
    <w:rPr>
      <w:sz w:val="16"/>
      <w:szCs w:val="16"/>
    </w:rPr>
  </w:style>
  <w:style w:type="paragraph" w:styleId="CommentText">
    <w:name w:val="annotation text"/>
    <w:basedOn w:val="Normal"/>
    <w:link w:val="CommentTextChar"/>
    <w:semiHidden/>
    <w:unhideWhenUsed/>
    <w:rsid w:val="006B0AD1"/>
    <w:rPr>
      <w:sz w:val="20"/>
      <w:szCs w:val="20"/>
    </w:rPr>
  </w:style>
  <w:style w:type="character" w:customStyle="1" w:styleId="CommentTextChar">
    <w:name w:val="Comment Text Char"/>
    <w:basedOn w:val="DefaultParagraphFont"/>
    <w:link w:val="CommentText"/>
    <w:semiHidden/>
    <w:rsid w:val="006B0AD1"/>
  </w:style>
  <w:style w:type="paragraph" w:styleId="CommentSubject">
    <w:name w:val="annotation subject"/>
    <w:basedOn w:val="CommentText"/>
    <w:next w:val="CommentText"/>
    <w:link w:val="CommentSubjectChar"/>
    <w:semiHidden/>
    <w:unhideWhenUsed/>
    <w:rsid w:val="006B0AD1"/>
    <w:rPr>
      <w:b/>
      <w:bCs/>
    </w:rPr>
  </w:style>
  <w:style w:type="character" w:customStyle="1" w:styleId="CommentSubjectChar">
    <w:name w:val="Comment Subject Char"/>
    <w:basedOn w:val="CommentTextChar"/>
    <w:link w:val="CommentSubject"/>
    <w:semiHidden/>
    <w:rsid w:val="006B0AD1"/>
    <w:rPr>
      <w:b/>
      <w:bCs/>
    </w:rPr>
  </w:style>
  <w:style w:type="paragraph" w:styleId="Revision">
    <w:name w:val="Revision"/>
    <w:hidden/>
    <w:uiPriority w:val="99"/>
    <w:semiHidden/>
    <w:rsid w:val="00101B7B"/>
    <w:rPr>
      <w:sz w:val="24"/>
      <w:szCs w:val="24"/>
    </w:rPr>
  </w:style>
  <w:style w:type="paragraph" w:styleId="ListParagraph">
    <w:name w:val="List Paragraph"/>
    <w:basedOn w:val="Normal"/>
    <w:uiPriority w:val="34"/>
    <w:qFormat/>
    <w:rsid w:val="006F3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1159</Words>
  <Characters>6210</Characters>
  <Application>Microsoft Office Word</Application>
  <DocSecurity>4</DocSecurity>
  <Lines>128</Lines>
  <Paragraphs>34</Paragraphs>
  <ScaleCrop>false</ScaleCrop>
  <HeadingPairs>
    <vt:vector size="2" baseType="variant">
      <vt:variant>
        <vt:lpstr>Title</vt:lpstr>
      </vt:variant>
      <vt:variant>
        <vt:i4>1</vt:i4>
      </vt:variant>
    </vt:vector>
  </HeadingPairs>
  <TitlesOfParts>
    <vt:vector size="1" baseType="lpstr">
      <vt:lpstr>BA - HB02048 (Committee Report (Substituted))</vt:lpstr>
    </vt:vector>
  </TitlesOfParts>
  <Company>State of Texas</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25747</dc:subject>
  <dc:creator>State of Texas</dc:creator>
  <dc:description>HB 2048 by Zerwas-(H)Homeland Security &amp; Public Safety (Substitute Document Number: 86R 19930)</dc:description>
  <cp:lastModifiedBy>Scotty Wimberley</cp:lastModifiedBy>
  <cp:revision>2</cp:revision>
  <cp:lastPrinted>2003-11-26T17:21:00Z</cp:lastPrinted>
  <dcterms:created xsi:type="dcterms:W3CDTF">2019-04-15T18:02:00Z</dcterms:created>
  <dcterms:modified xsi:type="dcterms:W3CDTF">2019-04-15T18:02:00Z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19.99.51</vt:lpwstr>
  </property>
</Properties>
</file>