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11095" w:rsidTr="00345119">
        <w:tc>
          <w:tcPr>
            <w:tcW w:w="9576" w:type="dxa"/>
            <w:noWrap/>
          </w:tcPr>
          <w:p w:rsidR="008423E4" w:rsidRPr="0022177D" w:rsidRDefault="00BB409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B4093" w:rsidP="008423E4">
      <w:pPr>
        <w:jc w:val="center"/>
      </w:pPr>
    </w:p>
    <w:p w:rsidR="008423E4" w:rsidRPr="00B31F0E" w:rsidRDefault="00BB4093" w:rsidP="008423E4"/>
    <w:p w:rsidR="008423E4" w:rsidRPr="00742794" w:rsidRDefault="00BB409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11095" w:rsidTr="00345119">
        <w:tc>
          <w:tcPr>
            <w:tcW w:w="9576" w:type="dxa"/>
          </w:tcPr>
          <w:p w:rsidR="008423E4" w:rsidRPr="00861995" w:rsidRDefault="00BB4093" w:rsidP="00345119">
            <w:pPr>
              <w:jc w:val="right"/>
            </w:pPr>
            <w:r>
              <w:t>C.S.H.B. 2050</w:t>
            </w:r>
          </w:p>
        </w:tc>
      </w:tr>
      <w:tr w:rsidR="00411095" w:rsidTr="00345119">
        <w:tc>
          <w:tcPr>
            <w:tcW w:w="9576" w:type="dxa"/>
          </w:tcPr>
          <w:p w:rsidR="008423E4" w:rsidRPr="00861995" w:rsidRDefault="00BB4093" w:rsidP="001B0BCD">
            <w:pPr>
              <w:jc w:val="right"/>
            </w:pPr>
            <w:r>
              <w:t xml:space="preserve">By: </w:t>
            </w:r>
            <w:r>
              <w:t>Paddie</w:t>
            </w:r>
          </w:p>
        </w:tc>
      </w:tr>
      <w:tr w:rsidR="00411095" w:rsidTr="00345119">
        <w:tc>
          <w:tcPr>
            <w:tcW w:w="9576" w:type="dxa"/>
          </w:tcPr>
          <w:p w:rsidR="008423E4" w:rsidRPr="00861995" w:rsidRDefault="00BB4093" w:rsidP="00345119">
            <w:pPr>
              <w:jc w:val="right"/>
            </w:pPr>
            <w:r>
              <w:t>Human Services</w:t>
            </w:r>
          </w:p>
        </w:tc>
      </w:tr>
      <w:tr w:rsidR="00411095" w:rsidTr="00345119">
        <w:tc>
          <w:tcPr>
            <w:tcW w:w="9576" w:type="dxa"/>
          </w:tcPr>
          <w:p w:rsidR="008423E4" w:rsidRDefault="00BB409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B4093" w:rsidP="008423E4">
      <w:pPr>
        <w:tabs>
          <w:tab w:val="right" w:pos="9360"/>
        </w:tabs>
      </w:pPr>
    </w:p>
    <w:p w:rsidR="008423E4" w:rsidRDefault="00BB4093" w:rsidP="008423E4"/>
    <w:p w:rsidR="008423E4" w:rsidRDefault="00BB409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11095" w:rsidTr="00345119">
        <w:tc>
          <w:tcPr>
            <w:tcW w:w="9576" w:type="dxa"/>
          </w:tcPr>
          <w:p w:rsidR="008423E4" w:rsidRPr="00A8133F" w:rsidRDefault="00BB4093" w:rsidP="001B0F2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B4093" w:rsidP="001B0F27"/>
          <w:p w:rsidR="008423E4" w:rsidRDefault="00BB4093" w:rsidP="001B0F27">
            <w:pPr>
              <w:pStyle w:val="Header"/>
              <w:jc w:val="both"/>
            </w:pPr>
            <w:r>
              <w:t xml:space="preserve">There are concerns that </w:t>
            </w:r>
            <w:r>
              <w:t xml:space="preserve">nursing home residents </w:t>
            </w:r>
            <w:r>
              <w:t xml:space="preserve">may be </w:t>
            </w:r>
            <w:r>
              <w:t>receiving antipsychotic</w:t>
            </w:r>
            <w:r>
              <w:t xml:space="preserve"> or neuroleptic</w:t>
            </w:r>
            <w:r>
              <w:t xml:space="preserve"> medications without</w:t>
            </w:r>
            <w:r>
              <w:t xml:space="preserve"> a medical need and often without</w:t>
            </w:r>
            <w:r>
              <w:t xml:space="preserve"> </w:t>
            </w:r>
            <w:r>
              <w:t xml:space="preserve">the </w:t>
            </w:r>
            <w:r>
              <w:t xml:space="preserve">resident's or the </w:t>
            </w:r>
            <w:r>
              <w:t xml:space="preserve">resident's </w:t>
            </w:r>
            <w:r>
              <w:t>legal representative's</w:t>
            </w:r>
            <w:r>
              <w:t xml:space="preserve"> consent.</w:t>
            </w:r>
            <w:r>
              <w:t xml:space="preserve"> It has been suggested that these </w:t>
            </w:r>
            <w:r>
              <w:t xml:space="preserve">powerful </w:t>
            </w:r>
            <w:r>
              <w:t xml:space="preserve">drugs may pose serious or life-threatening risks when administered to </w:t>
            </w:r>
            <w:r>
              <w:t>certain residents, especially those</w:t>
            </w:r>
            <w:r>
              <w:t xml:space="preserve"> with deme</w:t>
            </w:r>
            <w:r>
              <w:t>ntia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2050 </w:t>
            </w:r>
            <w:r>
              <w:t xml:space="preserve">seeks to address </w:t>
            </w:r>
            <w:r>
              <w:t>this issue</w:t>
            </w:r>
            <w:r>
              <w:t xml:space="preserve"> by </w:t>
            </w:r>
            <w:r>
              <w:t>revising</w:t>
            </w:r>
            <w:r>
              <w:t xml:space="preserve"> </w:t>
            </w:r>
            <w:r>
              <w:t xml:space="preserve">consent </w:t>
            </w:r>
            <w:r>
              <w:t xml:space="preserve">requirements for the prescription of these </w:t>
            </w:r>
            <w:r>
              <w:t>medication</w:t>
            </w:r>
            <w:r>
              <w:t>s</w:t>
            </w:r>
            <w:r>
              <w:t xml:space="preserve"> </w:t>
            </w:r>
            <w:r>
              <w:t>to</w:t>
            </w:r>
            <w:r>
              <w:t xml:space="preserve"> resident</w:t>
            </w:r>
            <w:r>
              <w:t>s</w:t>
            </w:r>
            <w:r>
              <w:t xml:space="preserve"> </w:t>
            </w:r>
            <w:r>
              <w:t>of nursing facilities and related institutions</w:t>
            </w:r>
            <w:r>
              <w:t xml:space="preserve">. </w:t>
            </w:r>
          </w:p>
          <w:p w:rsidR="008423E4" w:rsidRPr="00E26B13" w:rsidRDefault="00BB4093" w:rsidP="001B0F27">
            <w:pPr>
              <w:rPr>
                <w:b/>
              </w:rPr>
            </w:pPr>
          </w:p>
        </w:tc>
      </w:tr>
      <w:tr w:rsidR="00411095" w:rsidTr="00345119">
        <w:tc>
          <w:tcPr>
            <w:tcW w:w="9576" w:type="dxa"/>
          </w:tcPr>
          <w:p w:rsidR="0017725B" w:rsidRDefault="00BB4093" w:rsidP="001B0F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B4093" w:rsidP="001B0F27">
            <w:pPr>
              <w:rPr>
                <w:b/>
                <w:u w:val="single"/>
              </w:rPr>
            </w:pPr>
          </w:p>
          <w:p w:rsidR="00906971" w:rsidRPr="00906971" w:rsidRDefault="00BB4093" w:rsidP="001B0F27">
            <w:pPr>
              <w:jc w:val="both"/>
            </w:pPr>
            <w:r>
              <w:t>It is the committee's opinion that this bill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B4093" w:rsidP="001B0F27">
            <w:pPr>
              <w:rPr>
                <w:b/>
                <w:u w:val="single"/>
              </w:rPr>
            </w:pPr>
          </w:p>
        </w:tc>
      </w:tr>
      <w:tr w:rsidR="00411095" w:rsidTr="00345119">
        <w:tc>
          <w:tcPr>
            <w:tcW w:w="9576" w:type="dxa"/>
          </w:tcPr>
          <w:p w:rsidR="008423E4" w:rsidRPr="00A8133F" w:rsidRDefault="00BB4093" w:rsidP="001B0F2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B4093" w:rsidP="001B0F27"/>
          <w:p w:rsidR="00906971" w:rsidRDefault="00BB4093" w:rsidP="001B0F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BB4093" w:rsidP="001B0F27">
            <w:pPr>
              <w:rPr>
                <w:b/>
              </w:rPr>
            </w:pPr>
          </w:p>
        </w:tc>
      </w:tr>
      <w:tr w:rsidR="00411095" w:rsidTr="00345119">
        <w:tc>
          <w:tcPr>
            <w:tcW w:w="9576" w:type="dxa"/>
          </w:tcPr>
          <w:p w:rsidR="008423E4" w:rsidRPr="00A8133F" w:rsidRDefault="00BB4093" w:rsidP="001B0F2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B4093" w:rsidP="001B0F27"/>
          <w:p w:rsidR="004C35ED" w:rsidRDefault="00BB4093" w:rsidP="001B0F27">
            <w:pPr>
              <w:pStyle w:val="Header"/>
              <w:jc w:val="both"/>
            </w:pPr>
            <w:r>
              <w:t>C.S.</w:t>
            </w:r>
            <w:r>
              <w:t xml:space="preserve">H.B. 2050 amends the Health and Safety Code to </w:t>
            </w:r>
            <w:r>
              <w:t xml:space="preserve">include the following as </w:t>
            </w:r>
            <w:r>
              <w:t>conditio</w:t>
            </w:r>
            <w:r>
              <w:t>n</w:t>
            </w:r>
            <w:r>
              <w:t>s</w:t>
            </w:r>
            <w:r>
              <w:t xml:space="preserve"> </w:t>
            </w:r>
            <w:r>
              <w:t xml:space="preserve">on </w:t>
            </w:r>
            <w:r>
              <w:t xml:space="preserve">the validity of </w:t>
            </w:r>
            <w:r>
              <w:t xml:space="preserve">consent </w:t>
            </w:r>
            <w:r>
              <w:t xml:space="preserve">by </w:t>
            </w:r>
            <w:r>
              <w:t xml:space="preserve">a resident of a convalescent or nursing facility </w:t>
            </w:r>
            <w:r>
              <w:t xml:space="preserve">or related institution </w:t>
            </w:r>
            <w:r>
              <w:t xml:space="preserve">to the prescription of </w:t>
            </w:r>
            <w:r>
              <w:t>an antipsychotic or neuroleptic medication</w:t>
            </w:r>
            <w:r>
              <w:t>:</w:t>
            </w:r>
            <w:r>
              <w:t xml:space="preserve"> </w:t>
            </w:r>
          </w:p>
          <w:p w:rsidR="004C35ED" w:rsidRDefault="00BB4093" w:rsidP="001B0F2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consent to the prescription </w:t>
            </w:r>
            <w:r>
              <w:t>is</w:t>
            </w:r>
            <w:r>
              <w:t xml:space="preserve"> </w:t>
            </w:r>
            <w:r>
              <w:t xml:space="preserve">given in writing by </w:t>
            </w:r>
            <w:r>
              <w:t xml:space="preserve">the </w:t>
            </w:r>
            <w:r>
              <w:t>resident or by a person auth</w:t>
            </w:r>
            <w:r>
              <w:t>orized by law to co</w:t>
            </w:r>
            <w:r>
              <w:t>nsent on the resident's behalf</w:t>
            </w:r>
            <w:r>
              <w:t xml:space="preserve"> on a form prescribed by the Health and Human Services Commission</w:t>
            </w:r>
            <w:r>
              <w:t xml:space="preserve"> (HHSC)</w:t>
            </w:r>
            <w:r>
              <w:t>;</w:t>
            </w:r>
            <w:r>
              <w:t xml:space="preserve"> and</w:t>
            </w:r>
          </w:p>
          <w:p w:rsidR="008423E4" w:rsidRDefault="00BB4093" w:rsidP="001B0F2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if applicable, consent </w:t>
            </w:r>
            <w:r>
              <w:t xml:space="preserve">is </w:t>
            </w:r>
            <w:r>
              <w:t xml:space="preserve">evidenced in the resident's clinical record by </w:t>
            </w:r>
            <w:r>
              <w:t xml:space="preserve">the original </w:t>
            </w:r>
            <w:r w:rsidRPr="00841B79">
              <w:t xml:space="preserve">or a copy </w:t>
            </w:r>
            <w:r>
              <w:t xml:space="preserve">of </w:t>
            </w:r>
            <w:r>
              <w:t xml:space="preserve">the </w:t>
            </w:r>
            <w:r>
              <w:t>written consent</w:t>
            </w:r>
            <w:r>
              <w:t>.</w:t>
            </w:r>
            <w:r>
              <w:t xml:space="preserve"> </w:t>
            </w:r>
          </w:p>
          <w:p w:rsidR="008423E4" w:rsidRPr="00835628" w:rsidRDefault="00BB4093" w:rsidP="001B0F27">
            <w:pPr>
              <w:rPr>
                <w:b/>
              </w:rPr>
            </w:pPr>
          </w:p>
        </w:tc>
      </w:tr>
      <w:tr w:rsidR="00411095" w:rsidTr="00345119">
        <w:tc>
          <w:tcPr>
            <w:tcW w:w="9576" w:type="dxa"/>
          </w:tcPr>
          <w:p w:rsidR="008423E4" w:rsidRPr="00A8133F" w:rsidRDefault="00BB4093" w:rsidP="001B0F2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B4093" w:rsidP="001B0F27"/>
          <w:p w:rsidR="008423E4" w:rsidRPr="003624F2" w:rsidRDefault="00BB4093" w:rsidP="001B0F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B4093" w:rsidP="001B0F27">
            <w:pPr>
              <w:rPr>
                <w:b/>
              </w:rPr>
            </w:pPr>
          </w:p>
        </w:tc>
      </w:tr>
      <w:tr w:rsidR="00411095" w:rsidTr="00345119">
        <w:tc>
          <w:tcPr>
            <w:tcW w:w="9576" w:type="dxa"/>
          </w:tcPr>
          <w:p w:rsidR="001B0BCD" w:rsidRDefault="00BB4093" w:rsidP="001B0F2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22B40" w:rsidRDefault="00BB4093" w:rsidP="001B0F27">
            <w:pPr>
              <w:jc w:val="both"/>
            </w:pPr>
          </w:p>
          <w:p w:rsidR="00022B40" w:rsidRDefault="00BB4093" w:rsidP="001B0F27">
            <w:pPr>
              <w:jc w:val="both"/>
            </w:pPr>
            <w:r>
              <w:t xml:space="preserve">While C.S.H.B. 2050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:rsidR="00022B40" w:rsidRDefault="00BB4093" w:rsidP="001B0F27">
            <w:pPr>
              <w:jc w:val="both"/>
            </w:pPr>
          </w:p>
          <w:p w:rsidR="00967655" w:rsidRDefault="00BB4093" w:rsidP="001B0F27">
            <w:pPr>
              <w:jc w:val="both"/>
            </w:pPr>
            <w:r>
              <w:t>The substitute requires the written consent of the resident or authorized person to be on a for</w:t>
            </w:r>
            <w:r>
              <w:t>m</w:t>
            </w:r>
            <w:r>
              <w:t xml:space="preserve"> prescribed by HHSC.</w:t>
            </w:r>
          </w:p>
          <w:p w:rsidR="00967655" w:rsidRDefault="00BB4093" w:rsidP="001B0F27">
            <w:pPr>
              <w:jc w:val="both"/>
            </w:pPr>
          </w:p>
          <w:p w:rsidR="00022B40" w:rsidRDefault="00BB4093" w:rsidP="001B0F27">
            <w:pPr>
              <w:jc w:val="both"/>
            </w:pPr>
            <w:r>
              <w:t xml:space="preserve">The substitute </w:t>
            </w:r>
            <w:r>
              <w:t xml:space="preserve">does not include </w:t>
            </w:r>
            <w:r>
              <w:t>as a condition</w:t>
            </w:r>
            <w:r>
              <w:t xml:space="preserve"> </w:t>
            </w:r>
            <w:r>
              <w:t xml:space="preserve">on </w:t>
            </w:r>
            <w:r>
              <w:t xml:space="preserve">the validity of consent the </w:t>
            </w:r>
            <w:r>
              <w:t xml:space="preserve">condition that the </w:t>
            </w:r>
            <w:r>
              <w:t>prescri</w:t>
            </w:r>
            <w:r>
              <w:t>ber of the medication</w:t>
            </w:r>
            <w:r>
              <w:t xml:space="preserve"> or the prescriber's designee</w:t>
            </w:r>
            <w:r>
              <w:t xml:space="preserve"> provid</w:t>
            </w:r>
            <w:r>
              <w:t>e</w:t>
            </w:r>
            <w:r>
              <w:t xml:space="preserve"> certain</w:t>
            </w:r>
            <w:r>
              <w:t xml:space="preserve"> specified</w:t>
            </w:r>
            <w:r>
              <w:t xml:space="preserve"> information to the resident and</w:t>
            </w:r>
            <w:r>
              <w:t xml:space="preserve"> applicable</w:t>
            </w:r>
            <w:r>
              <w:t xml:space="preserve"> </w:t>
            </w:r>
            <w:r>
              <w:t xml:space="preserve">authorized </w:t>
            </w:r>
            <w:r>
              <w:t>person</w:t>
            </w:r>
            <w:r>
              <w:t>.</w:t>
            </w:r>
            <w:r>
              <w:t xml:space="preserve"> </w:t>
            </w:r>
            <w:r>
              <w:t xml:space="preserve">The </w:t>
            </w:r>
            <w:r>
              <w:t xml:space="preserve">substitute </w:t>
            </w:r>
            <w:r>
              <w:t xml:space="preserve">does not include </w:t>
            </w:r>
            <w:r>
              <w:t>requirement</w:t>
            </w:r>
            <w:r>
              <w:t>s</w:t>
            </w:r>
            <w:r>
              <w:t xml:space="preserve"> for</w:t>
            </w:r>
            <w:r>
              <w:t xml:space="preserve"> </w:t>
            </w:r>
            <w:r>
              <w:t xml:space="preserve">a </w:t>
            </w:r>
            <w:r>
              <w:t>facility</w:t>
            </w:r>
            <w:r>
              <w:t xml:space="preserve"> </w:t>
            </w:r>
            <w:r>
              <w:t xml:space="preserve">to inform the resident or authorized person about </w:t>
            </w:r>
            <w:r>
              <w:t xml:space="preserve">the </w:t>
            </w:r>
            <w:r>
              <w:t>fac</w:t>
            </w:r>
            <w:r>
              <w:t>ility</w:t>
            </w:r>
            <w:r>
              <w:t>'s consent</w:t>
            </w:r>
            <w:r>
              <w:t xml:space="preserve"> policies and procedures </w:t>
            </w:r>
            <w:r>
              <w:t xml:space="preserve">before administering </w:t>
            </w:r>
            <w:r>
              <w:t>the</w:t>
            </w:r>
            <w:r>
              <w:t xml:space="preserve"> medication, </w:t>
            </w:r>
            <w:r>
              <w:t>and to make a written copy of those policies and procedures</w:t>
            </w:r>
            <w:r>
              <w:t xml:space="preserve"> available</w:t>
            </w:r>
            <w:r>
              <w:t xml:space="preserve"> on request. </w:t>
            </w:r>
          </w:p>
          <w:p w:rsidR="00022B40" w:rsidRDefault="00BB4093" w:rsidP="001B0F27">
            <w:pPr>
              <w:jc w:val="both"/>
            </w:pPr>
          </w:p>
          <w:p w:rsidR="00022B40" w:rsidRDefault="00BB4093" w:rsidP="001B0F27">
            <w:pPr>
              <w:jc w:val="both"/>
            </w:pPr>
            <w:r>
              <w:t xml:space="preserve"> </w:t>
            </w:r>
          </w:p>
          <w:p w:rsidR="00022B40" w:rsidRPr="00022B40" w:rsidRDefault="00BB4093" w:rsidP="001B0F27">
            <w:pPr>
              <w:jc w:val="both"/>
            </w:pPr>
          </w:p>
        </w:tc>
      </w:tr>
      <w:tr w:rsidR="00411095" w:rsidTr="00345119">
        <w:tc>
          <w:tcPr>
            <w:tcW w:w="9576" w:type="dxa"/>
          </w:tcPr>
          <w:p w:rsidR="001B0BCD" w:rsidRPr="009C1E9A" w:rsidRDefault="00BB4093" w:rsidP="001B0F27">
            <w:pPr>
              <w:rPr>
                <w:b/>
                <w:u w:val="single"/>
              </w:rPr>
            </w:pPr>
          </w:p>
        </w:tc>
      </w:tr>
      <w:tr w:rsidR="00411095" w:rsidTr="00345119">
        <w:tc>
          <w:tcPr>
            <w:tcW w:w="9576" w:type="dxa"/>
          </w:tcPr>
          <w:p w:rsidR="001B0BCD" w:rsidRPr="001B0BCD" w:rsidRDefault="00BB4093" w:rsidP="001B0F27">
            <w:pPr>
              <w:jc w:val="both"/>
            </w:pPr>
          </w:p>
        </w:tc>
      </w:tr>
    </w:tbl>
    <w:p w:rsidR="008423E4" w:rsidRPr="00BE0E75" w:rsidRDefault="00BB409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B409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4093">
      <w:r>
        <w:separator/>
      </w:r>
    </w:p>
  </w:endnote>
  <w:endnote w:type="continuationSeparator" w:id="0">
    <w:p w:rsidR="00000000" w:rsidRDefault="00BB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4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11095" w:rsidTr="009C1E9A">
      <w:trPr>
        <w:cantSplit/>
      </w:trPr>
      <w:tc>
        <w:tcPr>
          <w:tcW w:w="0" w:type="pct"/>
        </w:tcPr>
        <w:p w:rsidR="00137D90" w:rsidRDefault="00BB40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B40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B40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B40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B40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11095" w:rsidTr="009C1E9A">
      <w:trPr>
        <w:cantSplit/>
      </w:trPr>
      <w:tc>
        <w:tcPr>
          <w:tcW w:w="0" w:type="pct"/>
        </w:tcPr>
        <w:p w:rsidR="00EC379B" w:rsidRDefault="00BB40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B409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26272</w:t>
          </w:r>
        </w:p>
      </w:tc>
      <w:tc>
        <w:tcPr>
          <w:tcW w:w="2453" w:type="pct"/>
        </w:tcPr>
        <w:p w:rsidR="00EC379B" w:rsidRDefault="00BB40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19.100.1070</w:t>
          </w:r>
          <w:r>
            <w:fldChar w:fldCharType="end"/>
          </w:r>
        </w:p>
      </w:tc>
    </w:tr>
    <w:tr w:rsidR="00411095" w:rsidTr="009C1E9A">
      <w:trPr>
        <w:cantSplit/>
      </w:trPr>
      <w:tc>
        <w:tcPr>
          <w:tcW w:w="0" w:type="pct"/>
        </w:tcPr>
        <w:p w:rsidR="00EC379B" w:rsidRDefault="00BB40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B40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24163</w:t>
          </w:r>
        </w:p>
      </w:tc>
      <w:tc>
        <w:tcPr>
          <w:tcW w:w="2453" w:type="pct"/>
        </w:tcPr>
        <w:p w:rsidR="00EC379B" w:rsidRDefault="00BB4093" w:rsidP="006D504F">
          <w:pPr>
            <w:pStyle w:val="Footer"/>
            <w:rPr>
              <w:rStyle w:val="PageNumber"/>
            </w:rPr>
          </w:pPr>
        </w:p>
        <w:p w:rsidR="00EC379B" w:rsidRDefault="00BB40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1109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B409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B409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B409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4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4093">
      <w:r>
        <w:separator/>
      </w:r>
    </w:p>
  </w:footnote>
  <w:footnote w:type="continuationSeparator" w:id="0">
    <w:p w:rsidR="00000000" w:rsidRDefault="00BB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4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4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4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0D"/>
    <w:multiLevelType w:val="hybridMultilevel"/>
    <w:tmpl w:val="C0145C4E"/>
    <w:lvl w:ilvl="0" w:tplc="7A408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AD1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27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644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4E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146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6A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08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7442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5"/>
    <w:rsid w:val="00411095"/>
    <w:rsid w:val="00BB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2DD8A3-5603-426A-9C54-85E9E236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069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6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69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6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6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4</DocSecurity>
  <Lines>67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HB02050 (Committee Report (Substituted))</vt:lpstr>
    </vt:vector>
  </TitlesOfParts>
  <Company>State of Texas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26272</dc:subject>
  <dc:creator>State of Texas</dc:creator>
  <dc:description>HB 2050 by Paddie-(H)Human Services (Substitute Document Number: 86R 24163)</dc:description>
  <cp:lastModifiedBy>Laura Ramsay</cp:lastModifiedBy>
  <cp:revision>2</cp:revision>
  <cp:lastPrinted>2003-11-26T17:21:00Z</cp:lastPrinted>
  <dcterms:created xsi:type="dcterms:W3CDTF">2019-04-17T18:59:00Z</dcterms:created>
  <dcterms:modified xsi:type="dcterms:W3CDTF">2019-04-17T18:59:00Z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19.100.1070</vt:lpwstr>
  </property>
</Properties>
</file>