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74024" w:rsidTr="00345119">
        <w:tc>
          <w:tcPr>
            <w:tcW w:w="9576" w:type="dxa"/>
            <w:noWrap/>
          </w:tcPr>
          <w:p w:rsidR="008423E4" w:rsidRPr="0022177D" w:rsidRDefault="00470BE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70BE2" w:rsidP="008423E4">
      <w:pPr>
        <w:jc w:val="center"/>
      </w:pPr>
    </w:p>
    <w:p w:rsidR="008423E4" w:rsidRPr="00B31F0E" w:rsidRDefault="00470BE2" w:rsidP="008423E4"/>
    <w:p w:rsidR="008423E4" w:rsidRPr="00742794" w:rsidRDefault="00470BE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74024" w:rsidTr="00345119">
        <w:tc>
          <w:tcPr>
            <w:tcW w:w="9576" w:type="dxa"/>
          </w:tcPr>
          <w:p w:rsidR="008423E4" w:rsidRPr="00861995" w:rsidRDefault="00470BE2" w:rsidP="00345119">
            <w:pPr>
              <w:jc w:val="right"/>
            </w:pPr>
            <w:r>
              <w:t>C.S.H.B. 2051</w:t>
            </w:r>
          </w:p>
        </w:tc>
      </w:tr>
      <w:tr w:rsidR="00974024" w:rsidTr="00345119">
        <w:tc>
          <w:tcPr>
            <w:tcW w:w="9576" w:type="dxa"/>
          </w:tcPr>
          <w:p w:rsidR="008423E4" w:rsidRPr="00861995" w:rsidRDefault="00470BE2" w:rsidP="008F49A5">
            <w:pPr>
              <w:jc w:val="right"/>
            </w:pPr>
            <w:r>
              <w:t xml:space="preserve">By: </w:t>
            </w:r>
            <w:r>
              <w:t>Murr</w:t>
            </w:r>
          </w:p>
        </w:tc>
      </w:tr>
      <w:tr w:rsidR="00974024" w:rsidTr="00345119">
        <w:tc>
          <w:tcPr>
            <w:tcW w:w="9576" w:type="dxa"/>
          </w:tcPr>
          <w:p w:rsidR="008423E4" w:rsidRPr="00861995" w:rsidRDefault="00470BE2" w:rsidP="00345119">
            <w:pPr>
              <w:jc w:val="right"/>
            </w:pPr>
            <w:r>
              <w:t>Homeland Security &amp; Public Safety</w:t>
            </w:r>
          </w:p>
        </w:tc>
      </w:tr>
      <w:tr w:rsidR="00974024" w:rsidTr="00345119">
        <w:tc>
          <w:tcPr>
            <w:tcW w:w="9576" w:type="dxa"/>
          </w:tcPr>
          <w:p w:rsidR="008423E4" w:rsidRDefault="00470BE2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470BE2" w:rsidP="008423E4">
      <w:pPr>
        <w:tabs>
          <w:tab w:val="right" w:pos="9360"/>
        </w:tabs>
      </w:pPr>
    </w:p>
    <w:p w:rsidR="008423E4" w:rsidRDefault="00470BE2" w:rsidP="008423E4"/>
    <w:p w:rsidR="008423E4" w:rsidRDefault="00470BE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74024" w:rsidTr="00345119">
        <w:tc>
          <w:tcPr>
            <w:tcW w:w="9576" w:type="dxa"/>
          </w:tcPr>
          <w:p w:rsidR="008423E4" w:rsidRPr="00A8133F" w:rsidRDefault="00470BE2" w:rsidP="00A35ED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70BE2" w:rsidP="00A35ED6"/>
          <w:p w:rsidR="009020E2" w:rsidRDefault="00470BE2" w:rsidP="00A35E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noted that it is not uncommon for </w:t>
            </w:r>
            <w:r>
              <w:t xml:space="preserve">judicial officers </w:t>
            </w:r>
            <w:r>
              <w:t xml:space="preserve">to continue to serve in </w:t>
            </w:r>
            <w:r>
              <w:t xml:space="preserve">some public </w:t>
            </w:r>
            <w:r>
              <w:t xml:space="preserve">capacity upon retirement. </w:t>
            </w:r>
            <w:r>
              <w:t>C</w:t>
            </w:r>
            <w:r>
              <w:t>oncerns have been raised that these officials are sometimes subject to threatening</w:t>
            </w:r>
            <w:r>
              <w:t xml:space="preserve"> conduct</w:t>
            </w:r>
            <w:r>
              <w:t xml:space="preserve"> </w:t>
            </w:r>
            <w:r>
              <w:t xml:space="preserve">and should be able to carry a handgun for their personal protection </w:t>
            </w:r>
            <w:r>
              <w:t xml:space="preserve">and </w:t>
            </w:r>
            <w:r>
              <w:t xml:space="preserve">in order to safely carry out their duties. </w:t>
            </w:r>
            <w:r>
              <w:t>C.S.</w:t>
            </w:r>
            <w:r>
              <w:t xml:space="preserve">H.B. 2051 seeks to </w:t>
            </w:r>
            <w:r>
              <w:t xml:space="preserve">address these concerns by allowing retired judicial officers </w:t>
            </w:r>
            <w:r>
              <w:t xml:space="preserve">and a person who retired after serving as a judge or justice of an applicable state court </w:t>
            </w:r>
            <w:r>
              <w:t>to carry and possess a handgun under certain circumstances where otherwise prohibited.</w:t>
            </w:r>
          </w:p>
          <w:p w:rsidR="008423E4" w:rsidRPr="00E26B13" w:rsidRDefault="00470BE2" w:rsidP="00A35ED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 xml:space="preserve"> </w:t>
            </w:r>
            <w:r>
              <w:t xml:space="preserve"> </w:t>
            </w:r>
          </w:p>
        </w:tc>
      </w:tr>
      <w:tr w:rsidR="00974024" w:rsidTr="00345119">
        <w:tc>
          <w:tcPr>
            <w:tcW w:w="9576" w:type="dxa"/>
          </w:tcPr>
          <w:p w:rsidR="0017725B" w:rsidRDefault="00470BE2" w:rsidP="00A35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</w:t>
            </w:r>
            <w:r>
              <w:rPr>
                <w:b/>
                <w:u w:val="single"/>
              </w:rPr>
              <w:t>CE IMPACT</w:t>
            </w:r>
          </w:p>
          <w:p w:rsidR="0017725B" w:rsidRDefault="00470BE2" w:rsidP="00A35ED6">
            <w:pPr>
              <w:rPr>
                <w:b/>
                <w:u w:val="single"/>
              </w:rPr>
            </w:pPr>
          </w:p>
          <w:p w:rsidR="000E386A" w:rsidRPr="000E386A" w:rsidRDefault="00470BE2" w:rsidP="00A35ED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</w:t>
            </w:r>
            <w:r>
              <w:t xml:space="preserve"> or mandatory supervision.</w:t>
            </w:r>
          </w:p>
          <w:p w:rsidR="0017725B" w:rsidRPr="0017725B" w:rsidRDefault="00470BE2" w:rsidP="00A35ED6">
            <w:pPr>
              <w:rPr>
                <w:b/>
                <w:u w:val="single"/>
              </w:rPr>
            </w:pPr>
          </w:p>
        </w:tc>
      </w:tr>
      <w:tr w:rsidR="00974024" w:rsidTr="00345119">
        <w:tc>
          <w:tcPr>
            <w:tcW w:w="9576" w:type="dxa"/>
          </w:tcPr>
          <w:p w:rsidR="008423E4" w:rsidRPr="00A8133F" w:rsidRDefault="00470BE2" w:rsidP="00A35ED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70BE2" w:rsidP="00A35ED6"/>
          <w:p w:rsidR="000E386A" w:rsidRDefault="00470BE2" w:rsidP="00A35E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470BE2" w:rsidP="00A35ED6">
            <w:pPr>
              <w:rPr>
                <w:b/>
              </w:rPr>
            </w:pPr>
          </w:p>
        </w:tc>
      </w:tr>
      <w:tr w:rsidR="00974024" w:rsidTr="00345119">
        <w:tc>
          <w:tcPr>
            <w:tcW w:w="9576" w:type="dxa"/>
          </w:tcPr>
          <w:p w:rsidR="008423E4" w:rsidRPr="00A8133F" w:rsidRDefault="00470BE2" w:rsidP="00A35ED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70BE2" w:rsidP="00A35ED6"/>
          <w:p w:rsidR="003102C2" w:rsidRDefault="00470BE2" w:rsidP="00A35E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2051 amends the </w:t>
            </w:r>
            <w:r>
              <w:t>Penal Code to</w:t>
            </w:r>
            <w:r>
              <w:t xml:space="preserve"> establish as a defense to prosecution for </w:t>
            </w:r>
            <w:r>
              <w:t xml:space="preserve">certain conduct constituting </w:t>
            </w:r>
            <w:r>
              <w:t xml:space="preserve">the offense of unlawful carrying of a handgun by a </w:t>
            </w:r>
            <w:r>
              <w:t xml:space="preserve">handgun </w:t>
            </w:r>
            <w:r>
              <w:t xml:space="preserve">license holder that the actor </w:t>
            </w:r>
            <w:r>
              <w:t xml:space="preserve">at the time of the offense </w:t>
            </w:r>
            <w:r>
              <w:t>was</w:t>
            </w:r>
            <w:r>
              <w:t>:</w:t>
            </w:r>
          </w:p>
          <w:p w:rsidR="003102C2" w:rsidRDefault="00470BE2" w:rsidP="00A35ED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a retired judicial officer;</w:t>
            </w:r>
          </w:p>
          <w:p w:rsidR="003102C2" w:rsidRDefault="00470BE2" w:rsidP="00A35ED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a judge or justice of </w:t>
            </w:r>
            <w:r>
              <w:t>a federal court;</w:t>
            </w:r>
          </w:p>
          <w:p w:rsidR="003102C2" w:rsidRDefault="00470BE2" w:rsidP="00A35ED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a</w:t>
            </w:r>
            <w:r>
              <w:t xml:space="preserve"> person who retired after serving as a judge or justice of </w:t>
            </w:r>
            <w:r>
              <w:t>an applicable</w:t>
            </w:r>
            <w:r>
              <w:t xml:space="preserve"> </w:t>
            </w:r>
            <w:r>
              <w:t>state</w:t>
            </w:r>
            <w:r>
              <w:t xml:space="preserve"> court</w:t>
            </w:r>
            <w:r>
              <w:t>; or</w:t>
            </w:r>
          </w:p>
          <w:p w:rsidR="003102C2" w:rsidRDefault="00470BE2" w:rsidP="00A35ED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 </w:t>
            </w:r>
            <w:r w:rsidRPr="003102C2">
              <w:t>the attorney general or a United States attorney, assistant United States attorney, assistant attorney general, district attorney, assistant distric</w:t>
            </w:r>
            <w:r w:rsidRPr="003102C2">
              <w:t>t attorney, criminal district attorney, assistant criminal district attorney, county attorney, or assistant county attorney</w:t>
            </w:r>
            <w:r>
              <w:t>.</w:t>
            </w:r>
          </w:p>
          <w:p w:rsidR="003E0010" w:rsidRDefault="00470BE2" w:rsidP="00A35ED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The</w:t>
            </w:r>
            <w:r>
              <w:t xml:space="preserve"> </w:t>
            </w:r>
            <w:r>
              <w:t xml:space="preserve">bill </w:t>
            </w:r>
            <w:r>
              <w:t>exempt</w:t>
            </w:r>
            <w:r>
              <w:t>s</w:t>
            </w:r>
            <w:r>
              <w:t xml:space="preserve"> </w:t>
            </w:r>
            <w:r>
              <w:t>a retired judicial officer and a person who retired after serving as a judge or justice of an applicable state cou</w:t>
            </w:r>
            <w:r>
              <w:t xml:space="preserve">rt </w:t>
            </w:r>
            <w:r>
              <w:t xml:space="preserve">who is licensed to carry a handgun </w:t>
            </w:r>
            <w:r>
              <w:t>from the application of the offense of unlawful</w:t>
            </w:r>
            <w:r>
              <w:t xml:space="preserve"> carrying of </w:t>
            </w:r>
            <w:r>
              <w:t xml:space="preserve">a </w:t>
            </w:r>
            <w:r>
              <w:t>weapon</w:t>
            </w:r>
            <w:r>
              <w:t xml:space="preserve"> and </w:t>
            </w:r>
            <w:r>
              <w:t xml:space="preserve">the offense </w:t>
            </w:r>
            <w:r>
              <w:t xml:space="preserve">of possessing or going with </w:t>
            </w:r>
            <w:r>
              <w:t xml:space="preserve">certain </w:t>
            </w:r>
            <w:r>
              <w:t>weapon</w:t>
            </w:r>
            <w:r>
              <w:t>s</w:t>
            </w:r>
            <w:r>
              <w:t xml:space="preserve"> in </w:t>
            </w:r>
            <w:r>
              <w:t xml:space="preserve">a </w:t>
            </w:r>
            <w:r>
              <w:t xml:space="preserve">place where weapons are prohibited. </w:t>
            </w:r>
          </w:p>
          <w:p w:rsidR="000E386A" w:rsidRDefault="00470BE2" w:rsidP="00A35E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0E386A" w:rsidRDefault="00470BE2" w:rsidP="00A35E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2051 repeals Section 46.035(h-1), Pen</w:t>
            </w:r>
            <w:r>
              <w:t>al Code</w:t>
            </w:r>
            <w:r>
              <w:t xml:space="preserve">, </w:t>
            </w:r>
            <w:r w:rsidRPr="00950860">
              <w:t>as added by Chapter 1222 (H.B. 2300), Acts of the 80th Legislature, Regular Session, 2007</w:t>
            </w:r>
            <w:r>
              <w:t xml:space="preserve">.             </w:t>
            </w:r>
          </w:p>
          <w:p w:rsidR="008423E4" w:rsidRPr="00835628" w:rsidRDefault="00470BE2" w:rsidP="00A35ED6">
            <w:pPr>
              <w:rPr>
                <w:b/>
              </w:rPr>
            </w:pPr>
          </w:p>
        </w:tc>
      </w:tr>
      <w:tr w:rsidR="00974024" w:rsidTr="00345119">
        <w:tc>
          <w:tcPr>
            <w:tcW w:w="9576" w:type="dxa"/>
          </w:tcPr>
          <w:p w:rsidR="008423E4" w:rsidRPr="00A8133F" w:rsidRDefault="00470BE2" w:rsidP="00A35ED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70BE2" w:rsidP="00A35ED6"/>
          <w:p w:rsidR="008423E4" w:rsidRPr="003624F2" w:rsidRDefault="00470BE2" w:rsidP="00A35ED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470BE2" w:rsidP="00A35ED6">
            <w:pPr>
              <w:rPr>
                <w:b/>
              </w:rPr>
            </w:pPr>
          </w:p>
        </w:tc>
      </w:tr>
      <w:tr w:rsidR="00974024" w:rsidTr="00345119">
        <w:tc>
          <w:tcPr>
            <w:tcW w:w="9576" w:type="dxa"/>
          </w:tcPr>
          <w:p w:rsidR="008F49A5" w:rsidRDefault="00470BE2" w:rsidP="00A35ED6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665F6D" w:rsidRDefault="00470BE2" w:rsidP="00A35ED6">
            <w:pPr>
              <w:jc w:val="both"/>
            </w:pPr>
          </w:p>
          <w:p w:rsidR="00665F6D" w:rsidRDefault="00470BE2" w:rsidP="00A35ED6">
            <w:pPr>
              <w:jc w:val="both"/>
            </w:pPr>
            <w:r>
              <w:t xml:space="preserve">While C.S.H.B. 2051 may differ from the original in minor or </w:t>
            </w:r>
            <w:r>
              <w:t>nonsubstantive ways, the following summarizes the substantial differences between the introduced and committee substitute versions of the bill.</w:t>
            </w:r>
          </w:p>
          <w:p w:rsidR="00665F6D" w:rsidRDefault="00470BE2" w:rsidP="00A35ED6">
            <w:pPr>
              <w:jc w:val="both"/>
            </w:pPr>
          </w:p>
          <w:p w:rsidR="00665F6D" w:rsidRDefault="00470BE2" w:rsidP="00A35ED6">
            <w:pPr>
              <w:jc w:val="both"/>
            </w:pPr>
            <w:r>
              <w:t xml:space="preserve">The substitute </w:t>
            </w:r>
            <w:r>
              <w:t xml:space="preserve">makes the bill's provisions applicable to </w:t>
            </w:r>
            <w:r w:rsidRPr="00E96326">
              <w:t>a person who retired after serving as a judge or justi</w:t>
            </w:r>
            <w:r w:rsidRPr="00E96326">
              <w:t xml:space="preserve">ce of </w:t>
            </w:r>
            <w:r>
              <w:t>an applicable</w:t>
            </w:r>
            <w:r w:rsidRPr="00E96326">
              <w:t xml:space="preserve"> state court</w:t>
            </w:r>
            <w:r>
              <w:t>.</w:t>
            </w:r>
          </w:p>
          <w:p w:rsidR="00665F6D" w:rsidRPr="00665F6D" w:rsidRDefault="00470BE2" w:rsidP="00A35ED6">
            <w:pPr>
              <w:jc w:val="both"/>
            </w:pPr>
          </w:p>
        </w:tc>
      </w:tr>
      <w:tr w:rsidR="00974024" w:rsidTr="00345119">
        <w:tc>
          <w:tcPr>
            <w:tcW w:w="9576" w:type="dxa"/>
          </w:tcPr>
          <w:p w:rsidR="008F49A5" w:rsidRPr="009C1E9A" w:rsidRDefault="00470BE2" w:rsidP="00A35ED6">
            <w:pPr>
              <w:rPr>
                <w:b/>
                <w:u w:val="single"/>
              </w:rPr>
            </w:pPr>
          </w:p>
        </w:tc>
      </w:tr>
      <w:tr w:rsidR="00974024" w:rsidTr="00345119">
        <w:tc>
          <w:tcPr>
            <w:tcW w:w="9576" w:type="dxa"/>
          </w:tcPr>
          <w:p w:rsidR="008F49A5" w:rsidRPr="008F49A5" w:rsidRDefault="00470BE2" w:rsidP="00A35ED6">
            <w:pPr>
              <w:jc w:val="both"/>
            </w:pPr>
          </w:p>
        </w:tc>
      </w:tr>
    </w:tbl>
    <w:p w:rsidR="008423E4" w:rsidRPr="00BE0E75" w:rsidRDefault="00470BE2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470BE2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0BE2">
      <w:r>
        <w:separator/>
      </w:r>
    </w:p>
  </w:endnote>
  <w:endnote w:type="continuationSeparator" w:id="0">
    <w:p w:rsidR="00000000" w:rsidRDefault="0047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50" w:rsidRDefault="00470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74024" w:rsidTr="009C1E9A">
      <w:trPr>
        <w:cantSplit/>
      </w:trPr>
      <w:tc>
        <w:tcPr>
          <w:tcW w:w="0" w:type="pct"/>
        </w:tcPr>
        <w:p w:rsidR="00137D90" w:rsidRDefault="00470BE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70BE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70BE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70BE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70B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74024" w:rsidTr="009C1E9A">
      <w:trPr>
        <w:cantSplit/>
      </w:trPr>
      <w:tc>
        <w:tcPr>
          <w:tcW w:w="0" w:type="pct"/>
        </w:tcPr>
        <w:p w:rsidR="00EC379B" w:rsidRDefault="00470BE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70BE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29972</w:t>
          </w:r>
        </w:p>
      </w:tc>
      <w:tc>
        <w:tcPr>
          <w:tcW w:w="2453" w:type="pct"/>
        </w:tcPr>
        <w:p w:rsidR="00EC379B" w:rsidRDefault="00470B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19.116.730</w:t>
          </w:r>
          <w:r>
            <w:fldChar w:fldCharType="end"/>
          </w:r>
        </w:p>
      </w:tc>
    </w:tr>
    <w:tr w:rsidR="00974024" w:rsidTr="009C1E9A">
      <w:trPr>
        <w:cantSplit/>
      </w:trPr>
      <w:tc>
        <w:tcPr>
          <w:tcW w:w="0" w:type="pct"/>
        </w:tcPr>
        <w:p w:rsidR="00EC379B" w:rsidRDefault="00470BE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70BE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28325</w:t>
          </w:r>
        </w:p>
      </w:tc>
      <w:tc>
        <w:tcPr>
          <w:tcW w:w="2453" w:type="pct"/>
        </w:tcPr>
        <w:p w:rsidR="00EC379B" w:rsidRDefault="00470BE2" w:rsidP="006D504F">
          <w:pPr>
            <w:pStyle w:val="Footer"/>
            <w:rPr>
              <w:rStyle w:val="PageNumber"/>
            </w:rPr>
          </w:pPr>
        </w:p>
        <w:p w:rsidR="00EC379B" w:rsidRDefault="00470B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74024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70BE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70BE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70BE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50" w:rsidRDefault="00470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0BE2">
      <w:r>
        <w:separator/>
      </w:r>
    </w:p>
  </w:footnote>
  <w:footnote w:type="continuationSeparator" w:id="0">
    <w:p w:rsidR="00000000" w:rsidRDefault="0047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50" w:rsidRDefault="00470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50" w:rsidRDefault="00470B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50" w:rsidRDefault="00470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24545"/>
    <w:multiLevelType w:val="hybridMultilevel"/>
    <w:tmpl w:val="78D05532"/>
    <w:lvl w:ilvl="0" w:tplc="F2FEA3D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90A820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AA2D31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64C21A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430446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28E0D5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3FCD78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94C25A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C0E704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4B2CD5"/>
    <w:multiLevelType w:val="hybridMultilevel"/>
    <w:tmpl w:val="28128C4C"/>
    <w:lvl w:ilvl="0" w:tplc="B8B69AF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B5C6C8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C34A41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9B872F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928B6A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606362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DFF0B81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876536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43A0F4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672DD7"/>
    <w:multiLevelType w:val="hybridMultilevel"/>
    <w:tmpl w:val="8EC2327E"/>
    <w:lvl w:ilvl="0" w:tplc="9076940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63C588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DF033D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51084C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5CC3EC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3F63D9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60C138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94CC47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4022DD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24"/>
    <w:rsid w:val="00470BE2"/>
    <w:rsid w:val="0097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AF8A47-96E7-44BE-B811-BE5187A9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E38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3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386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3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386A"/>
    <w:rPr>
      <w:b/>
      <w:bCs/>
    </w:rPr>
  </w:style>
  <w:style w:type="paragraph" w:styleId="Revision">
    <w:name w:val="Revision"/>
    <w:hidden/>
    <w:uiPriority w:val="99"/>
    <w:semiHidden/>
    <w:rsid w:val="003D63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2346</Characters>
  <Application>Microsoft Office Word</Application>
  <DocSecurity>4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HB02051 (Committee Report (Substituted))</vt:lpstr>
    </vt:vector>
  </TitlesOfParts>
  <Company>State of Texas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29972</dc:subject>
  <dc:creator>State of Texas</dc:creator>
  <dc:description>HB 2051 by Murr-(H)Homeland Security &amp; Public Safety (Substitute Document Number: 86R 28325)</dc:description>
  <cp:lastModifiedBy>Stacey Nicchio</cp:lastModifiedBy>
  <cp:revision>2</cp:revision>
  <cp:lastPrinted>2003-11-26T17:21:00Z</cp:lastPrinted>
  <dcterms:created xsi:type="dcterms:W3CDTF">2019-04-28T19:25:00Z</dcterms:created>
  <dcterms:modified xsi:type="dcterms:W3CDTF">2019-04-28T19:25:00Z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19.116.730</vt:lpwstr>
  </property>
</Properties>
</file>