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57E54" w:rsidTr="00345119">
        <w:tc>
          <w:tcPr>
            <w:tcW w:w="9576" w:type="dxa"/>
            <w:noWrap/>
          </w:tcPr>
          <w:p w:rsidR="008423E4" w:rsidRPr="0022177D" w:rsidRDefault="00111C2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11C2A" w:rsidP="008423E4">
      <w:pPr>
        <w:jc w:val="center"/>
      </w:pPr>
    </w:p>
    <w:p w:rsidR="008423E4" w:rsidRPr="00B31F0E" w:rsidRDefault="00111C2A" w:rsidP="008423E4"/>
    <w:p w:rsidR="008423E4" w:rsidRPr="00742794" w:rsidRDefault="00111C2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57E54" w:rsidTr="00345119">
        <w:tc>
          <w:tcPr>
            <w:tcW w:w="9576" w:type="dxa"/>
          </w:tcPr>
          <w:p w:rsidR="008423E4" w:rsidRPr="00861995" w:rsidRDefault="00111C2A" w:rsidP="00345119">
            <w:pPr>
              <w:jc w:val="right"/>
            </w:pPr>
            <w:r>
              <w:t>H.B. 2079</w:t>
            </w:r>
          </w:p>
        </w:tc>
      </w:tr>
      <w:tr w:rsidR="00D57E54" w:rsidTr="00345119">
        <w:tc>
          <w:tcPr>
            <w:tcW w:w="9576" w:type="dxa"/>
          </w:tcPr>
          <w:p w:rsidR="008423E4" w:rsidRPr="00861995" w:rsidRDefault="00111C2A" w:rsidP="00755196">
            <w:pPr>
              <w:jc w:val="right"/>
            </w:pPr>
            <w:r>
              <w:t xml:space="preserve">By: </w:t>
            </w:r>
            <w:r>
              <w:t>Coleman</w:t>
            </w:r>
          </w:p>
        </w:tc>
      </w:tr>
      <w:tr w:rsidR="00D57E54" w:rsidTr="00345119">
        <w:tc>
          <w:tcPr>
            <w:tcW w:w="9576" w:type="dxa"/>
          </w:tcPr>
          <w:p w:rsidR="008423E4" w:rsidRPr="00861995" w:rsidRDefault="00111C2A" w:rsidP="00345119">
            <w:pPr>
              <w:jc w:val="right"/>
            </w:pPr>
            <w:r>
              <w:t>Appropriations</w:t>
            </w:r>
          </w:p>
        </w:tc>
      </w:tr>
      <w:tr w:rsidR="00D57E54" w:rsidTr="00345119">
        <w:tc>
          <w:tcPr>
            <w:tcW w:w="9576" w:type="dxa"/>
          </w:tcPr>
          <w:p w:rsidR="008423E4" w:rsidRDefault="00111C2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11C2A" w:rsidP="008423E4">
      <w:pPr>
        <w:tabs>
          <w:tab w:val="right" w:pos="9360"/>
        </w:tabs>
      </w:pPr>
    </w:p>
    <w:p w:rsidR="008423E4" w:rsidRDefault="00111C2A" w:rsidP="008423E4"/>
    <w:p w:rsidR="008423E4" w:rsidRDefault="00111C2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57E54" w:rsidTr="00345119">
        <w:tc>
          <w:tcPr>
            <w:tcW w:w="9576" w:type="dxa"/>
          </w:tcPr>
          <w:p w:rsidR="008423E4" w:rsidRPr="00A8133F" w:rsidRDefault="00111C2A" w:rsidP="00EC277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11C2A" w:rsidP="00EC2776"/>
          <w:p w:rsidR="008423E4" w:rsidRDefault="00111C2A" w:rsidP="00EC27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Crime Victims' Compensation Act</w:t>
            </w:r>
            <w:r>
              <w:t xml:space="preserve"> provides </w:t>
            </w:r>
            <w:r>
              <w:t xml:space="preserve">compensation for relocation and </w:t>
            </w:r>
            <w:r>
              <w:t>housing rental</w:t>
            </w:r>
            <w:r>
              <w:t xml:space="preserve"> expenses</w:t>
            </w:r>
            <w:r>
              <w:t xml:space="preserve"> to victims of certain crimes </w:t>
            </w:r>
            <w:r>
              <w:t xml:space="preserve">committed at the victim's </w:t>
            </w:r>
            <w:r>
              <w:t xml:space="preserve">residence </w:t>
            </w:r>
            <w:r>
              <w:t>for purposes of ensuring the victim's safety and</w:t>
            </w:r>
            <w:r>
              <w:t xml:space="preserve"> assisting the victim </w:t>
            </w:r>
            <w:r>
              <w:t>in</w:t>
            </w:r>
            <w:r>
              <w:t xml:space="preserve"> recover</w:t>
            </w:r>
            <w:r>
              <w:t>ing</w:t>
            </w:r>
            <w:r>
              <w:t xml:space="preserve"> from </w:t>
            </w:r>
            <w:r>
              <w:t>that crime</w:t>
            </w:r>
            <w:r>
              <w:t xml:space="preserve">. </w:t>
            </w:r>
            <w:r>
              <w:t xml:space="preserve">It has been </w:t>
            </w:r>
            <w:r>
              <w:t>suggested</w:t>
            </w:r>
            <w:r>
              <w:t xml:space="preserve"> that </w:t>
            </w:r>
            <w:r>
              <w:t xml:space="preserve">a </w:t>
            </w:r>
            <w:r>
              <w:t>child</w:t>
            </w:r>
            <w:r>
              <w:t xml:space="preserve"> who is a victim of a murder attempt at the child's residence is </w:t>
            </w:r>
            <w:r>
              <w:t>especially vulnerabl</w:t>
            </w:r>
            <w:r>
              <w:t xml:space="preserve">e and </w:t>
            </w:r>
            <w:r>
              <w:t>should be eligible for compensation</w:t>
            </w:r>
            <w:r>
              <w:t xml:space="preserve"> for those purposes</w:t>
            </w:r>
            <w:r>
              <w:t>.</w:t>
            </w:r>
            <w:r>
              <w:t xml:space="preserve"> H.B. 2079 seeks to promote the safety </w:t>
            </w:r>
            <w:r>
              <w:t xml:space="preserve">and </w:t>
            </w:r>
            <w:r>
              <w:t xml:space="preserve">recovery </w:t>
            </w:r>
            <w:r>
              <w:t>of</w:t>
            </w:r>
            <w:r>
              <w:t xml:space="preserve"> </w:t>
            </w:r>
            <w:r>
              <w:t>these</w:t>
            </w:r>
            <w:r>
              <w:t xml:space="preserve"> child victims by providing for </w:t>
            </w:r>
            <w:r>
              <w:t xml:space="preserve">this </w:t>
            </w:r>
            <w:r>
              <w:t xml:space="preserve">compensation under the </w:t>
            </w:r>
            <w:r>
              <w:t>act</w:t>
            </w:r>
            <w:r>
              <w:t xml:space="preserve">. </w:t>
            </w:r>
          </w:p>
          <w:p w:rsidR="008423E4" w:rsidRPr="00E26B13" w:rsidRDefault="00111C2A" w:rsidP="00EC2776">
            <w:pPr>
              <w:rPr>
                <w:b/>
              </w:rPr>
            </w:pPr>
          </w:p>
        </w:tc>
      </w:tr>
      <w:tr w:rsidR="00D57E54" w:rsidTr="00345119">
        <w:tc>
          <w:tcPr>
            <w:tcW w:w="9576" w:type="dxa"/>
          </w:tcPr>
          <w:p w:rsidR="0017725B" w:rsidRDefault="00111C2A" w:rsidP="00EC27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11C2A" w:rsidP="00EC2776">
            <w:pPr>
              <w:rPr>
                <w:b/>
                <w:u w:val="single"/>
              </w:rPr>
            </w:pPr>
          </w:p>
          <w:p w:rsidR="000008ED" w:rsidRPr="000008ED" w:rsidRDefault="00111C2A" w:rsidP="00EC2776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11C2A" w:rsidP="00EC2776">
            <w:pPr>
              <w:rPr>
                <w:b/>
                <w:u w:val="single"/>
              </w:rPr>
            </w:pPr>
          </w:p>
        </w:tc>
      </w:tr>
      <w:tr w:rsidR="00D57E54" w:rsidTr="00345119">
        <w:tc>
          <w:tcPr>
            <w:tcW w:w="9576" w:type="dxa"/>
          </w:tcPr>
          <w:p w:rsidR="008423E4" w:rsidRPr="00A8133F" w:rsidRDefault="00111C2A" w:rsidP="00EC277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11C2A" w:rsidP="00EC2776"/>
          <w:p w:rsidR="000008ED" w:rsidRDefault="00111C2A" w:rsidP="00EC27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11C2A" w:rsidP="00EC2776">
            <w:pPr>
              <w:rPr>
                <w:b/>
              </w:rPr>
            </w:pPr>
          </w:p>
        </w:tc>
      </w:tr>
      <w:tr w:rsidR="00D57E54" w:rsidTr="00345119">
        <w:tc>
          <w:tcPr>
            <w:tcW w:w="9576" w:type="dxa"/>
          </w:tcPr>
          <w:p w:rsidR="008423E4" w:rsidRPr="00A8133F" w:rsidRDefault="00111C2A" w:rsidP="00EC277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11C2A" w:rsidP="00EC2776"/>
          <w:p w:rsidR="00BA2418" w:rsidRDefault="00111C2A" w:rsidP="00EC2776">
            <w:pPr>
              <w:pStyle w:val="Header"/>
              <w:jc w:val="both"/>
            </w:pPr>
            <w:r>
              <w:t xml:space="preserve">H.B. 2079 amends the Code of Criminal Procedure to include a child </w:t>
            </w:r>
            <w:r w:rsidRPr="00105B66">
              <w:t xml:space="preserve">who is a </w:t>
            </w:r>
            <w:r w:rsidRPr="00105B66">
              <w:t>victim of a murder attempt in the child's place of residence</w:t>
            </w:r>
            <w:r>
              <w:t xml:space="preserve"> among the victims who may receive </w:t>
            </w:r>
            <w:r w:rsidRPr="00105B66">
              <w:t>a onetime-only assistance pay</w:t>
            </w:r>
            <w:r>
              <w:t xml:space="preserve">ment </w:t>
            </w:r>
            <w:r>
              <w:t xml:space="preserve">capped at </w:t>
            </w:r>
            <w:r>
              <w:t xml:space="preserve">$2,000 to be used for relocation expenses and </w:t>
            </w:r>
            <w:r>
              <w:t xml:space="preserve">at </w:t>
            </w:r>
            <w:r>
              <w:t xml:space="preserve">$1,800 to be used for housing rental expenses under the </w:t>
            </w:r>
            <w:r w:rsidRPr="00105B66">
              <w:t>Crime Victim</w:t>
            </w:r>
            <w:r w:rsidRPr="00105B66">
              <w:t>s' Compensation Act</w:t>
            </w:r>
            <w:r>
              <w:t>.</w:t>
            </w:r>
          </w:p>
          <w:p w:rsidR="008423E4" w:rsidRPr="00835628" w:rsidRDefault="00111C2A" w:rsidP="00EC2776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D57E54" w:rsidTr="00345119">
        <w:tc>
          <w:tcPr>
            <w:tcW w:w="9576" w:type="dxa"/>
          </w:tcPr>
          <w:p w:rsidR="008423E4" w:rsidRPr="00A8133F" w:rsidRDefault="00111C2A" w:rsidP="00EC277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11C2A" w:rsidP="00EC2776"/>
          <w:p w:rsidR="008423E4" w:rsidRPr="003624F2" w:rsidRDefault="00111C2A" w:rsidP="00EC27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11C2A" w:rsidP="00EC2776">
            <w:pPr>
              <w:rPr>
                <w:b/>
              </w:rPr>
            </w:pPr>
          </w:p>
        </w:tc>
      </w:tr>
    </w:tbl>
    <w:p w:rsidR="008423E4" w:rsidRPr="00BE0E75" w:rsidRDefault="00111C2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11C2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1C2A">
      <w:r>
        <w:separator/>
      </w:r>
    </w:p>
  </w:endnote>
  <w:endnote w:type="continuationSeparator" w:id="0">
    <w:p w:rsidR="00000000" w:rsidRDefault="0011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1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57E54" w:rsidTr="009C1E9A">
      <w:trPr>
        <w:cantSplit/>
      </w:trPr>
      <w:tc>
        <w:tcPr>
          <w:tcW w:w="0" w:type="pct"/>
        </w:tcPr>
        <w:p w:rsidR="00137D90" w:rsidRDefault="00111C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11C2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11C2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11C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11C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7E54" w:rsidTr="009C1E9A">
      <w:trPr>
        <w:cantSplit/>
      </w:trPr>
      <w:tc>
        <w:tcPr>
          <w:tcW w:w="0" w:type="pct"/>
        </w:tcPr>
        <w:p w:rsidR="00EC379B" w:rsidRDefault="00111C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11C2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24266</w:t>
          </w:r>
        </w:p>
      </w:tc>
      <w:tc>
        <w:tcPr>
          <w:tcW w:w="2453" w:type="pct"/>
        </w:tcPr>
        <w:p w:rsidR="00EC379B" w:rsidRDefault="00111C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19.93.869</w:t>
          </w:r>
          <w:r>
            <w:fldChar w:fldCharType="end"/>
          </w:r>
        </w:p>
      </w:tc>
    </w:tr>
    <w:tr w:rsidR="00D57E54" w:rsidTr="009C1E9A">
      <w:trPr>
        <w:cantSplit/>
      </w:trPr>
      <w:tc>
        <w:tcPr>
          <w:tcW w:w="0" w:type="pct"/>
        </w:tcPr>
        <w:p w:rsidR="00EC379B" w:rsidRDefault="00111C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11C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11C2A" w:rsidP="006D504F">
          <w:pPr>
            <w:pStyle w:val="Footer"/>
            <w:rPr>
              <w:rStyle w:val="PageNumber"/>
            </w:rPr>
          </w:pPr>
        </w:p>
        <w:p w:rsidR="00EC379B" w:rsidRDefault="00111C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7E5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11C2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11C2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11C2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1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1C2A">
      <w:r>
        <w:separator/>
      </w:r>
    </w:p>
  </w:footnote>
  <w:footnote w:type="continuationSeparator" w:id="0">
    <w:p w:rsidR="00000000" w:rsidRDefault="0011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1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1C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1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54"/>
    <w:rsid w:val="00111C2A"/>
    <w:rsid w:val="00D5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58B3EC-D056-41D1-AC3D-DD2AF382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05B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5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5B6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5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HB02079 (Committee Report (Unamended))</vt:lpstr>
    </vt:vector>
  </TitlesOfParts>
  <Company>State of Texas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24266</dc:subject>
  <dc:creator>State of Texas</dc:creator>
  <dc:description>HB 2079 by Coleman-(H)Appropriations</dc:description>
  <cp:lastModifiedBy>Laura Ramsay</cp:lastModifiedBy>
  <cp:revision>2</cp:revision>
  <cp:lastPrinted>2003-11-26T17:21:00Z</cp:lastPrinted>
  <dcterms:created xsi:type="dcterms:W3CDTF">2019-04-11T16:29:00Z</dcterms:created>
  <dcterms:modified xsi:type="dcterms:W3CDTF">2019-04-11T16:29:00Z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19.93.869</vt:lpwstr>
  </property>
</Properties>
</file>