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41DCF" w:rsidTr="00345119">
        <w:tc>
          <w:tcPr>
            <w:tcW w:w="9576" w:type="dxa"/>
            <w:noWrap/>
          </w:tcPr>
          <w:p w:rsidR="008423E4" w:rsidRPr="0022177D" w:rsidRDefault="003C019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C0190" w:rsidP="008423E4">
      <w:pPr>
        <w:jc w:val="center"/>
      </w:pPr>
    </w:p>
    <w:p w:rsidR="008423E4" w:rsidRPr="00B31F0E" w:rsidRDefault="003C0190" w:rsidP="008423E4"/>
    <w:p w:rsidR="008423E4" w:rsidRPr="00742794" w:rsidRDefault="003C019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41DCF" w:rsidTr="00345119">
        <w:tc>
          <w:tcPr>
            <w:tcW w:w="9576" w:type="dxa"/>
          </w:tcPr>
          <w:p w:rsidR="008423E4" w:rsidRPr="00861995" w:rsidRDefault="003C0190" w:rsidP="00345119">
            <w:pPr>
              <w:jc w:val="right"/>
            </w:pPr>
            <w:r>
              <w:t>C.S.H.B. 2088</w:t>
            </w:r>
          </w:p>
        </w:tc>
      </w:tr>
      <w:tr w:rsidR="00C41DCF" w:rsidTr="00345119">
        <w:tc>
          <w:tcPr>
            <w:tcW w:w="9576" w:type="dxa"/>
          </w:tcPr>
          <w:p w:rsidR="008423E4" w:rsidRPr="00861995" w:rsidRDefault="003C0190" w:rsidP="002F7956">
            <w:pPr>
              <w:jc w:val="right"/>
            </w:pPr>
            <w:r>
              <w:t xml:space="preserve">By: </w:t>
            </w:r>
            <w:r>
              <w:t>Dean</w:t>
            </w:r>
          </w:p>
        </w:tc>
      </w:tr>
      <w:tr w:rsidR="00C41DCF" w:rsidTr="00345119">
        <w:tc>
          <w:tcPr>
            <w:tcW w:w="9576" w:type="dxa"/>
          </w:tcPr>
          <w:p w:rsidR="008423E4" w:rsidRPr="00861995" w:rsidRDefault="003C0190" w:rsidP="00345119">
            <w:pPr>
              <w:jc w:val="right"/>
            </w:pPr>
            <w:r>
              <w:t>Public Health</w:t>
            </w:r>
          </w:p>
        </w:tc>
      </w:tr>
      <w:tr w:rsidR="00C41DCF" w:rsidTr="00345119">
        <w:tc>
          <w:tcPr>
            <w:tcW w:w="9576" w:type="dxa"/>
          </w:tcPr>
          <w:p w:rsidR="008423E4" w:rsidRDefault="003C019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C0190" w:rsidP="008423E4">
      <w:pPr>
        <w:tabs>
          <w:tab w:val="right" w:pos="9360"/>
        </w:tabs>
      </w:pPr>
    </w:p>
    <w:p w:rsidR="008423E4" w:rsidRDefault="003C0190" w:rsidP="008423E4"/>
    <w:p w:rsidR="008423E4" w:rsidRDefault="003C019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41DCF" w:rsidTr="00345119">
        <w:tc>
          <w:tcPr>
            <w:tcW w:w="9576" w:type="dxa"/>
          </w:tcPr>
          <w:p w:rsidR="008423E4" w:rsidRPr="00A8133F" w:rsidRDefault="003C0190" w:rsidP="0055226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C0190" w:rsidP="0055226B"/>
          <w:p w:rsidR="008423E4" w:rsidRDefault="003C0190" w:rsidP="0055226B">
            <w:pPr>
              <w:pStyle w:val="Header"/>
              <w:jc w:val="both"/>
            </w:pPr>
            <w:r>
              <w:t xml:space="preserve">The use and abuse of opioids have risen dramatically in Texas and across the nation in recent years. </w:t>
            </w:r>
            <w:r>
              <w:t>I</w:t>
            </w:r>
            <w:r>
              <w:t>t has been suggested that</w:t>
            </w:r>
            <w:r>
              <w:t>,</w:t>
            </w:r>
            <w:r>
              <w:t xml:space="preserve"> </w:t>
            </w:r>
            <w:r>
              <w:t xml:space="preserve">to combat this opioid epidemic, </w:t>
            </w:r>
            <w:r>
              <w:t xml:space="preserve">more should be done to </w:t>
            </w:r>
            <w:r>
              <w:t xml:space="preserve">raise </w:t>
            </w:r>
            <w:r>
              <w:t xml:space="preserve">awareness of </w:t>
            </w:r>
            <w:r>
              <w:t xml:space="preserve">so-called </w:t>
            </w:r>
            <w:r>
              <w:t>take</w:t>
            </w:r>
            <w:r>
              <w:t>-</w:t>
            </w:r>
            <w:r>
              <w:t>back locations</w:t>
            </w:r>
            <w:r>
              <w:t xml:space="preserve"> where </w:t>
            </w:r>
            <w:r>
              <w:t xml:space="preserve">Schedule II </w:t>
            </w:r>
            <w:r>
              <w:t>controlled substance</w:t>
            </w:r>
            <w:r>
              <w:t xml:space="preserve"> prescription drugs</w:t>
            </w:r>
            <w:r>
              <w:t xml:space="preserve"> are accepted for safe disposal</w:t>
            </w:r>
            <w:r>
              <w:t xml:space="preserve">. </w:t>
            </w:r>
            <w:r>
              <w:t>C.S.</w:t>
            </w:r>
            <w:r>
              <w:t xml:space="preserve">H.B. 2088 seeks to make information about these locations </w:t>
            </w:r>
            <w:r>
              <w:t>more readily available.</w:t>
            </w:r>
          </w:p>
          <w:p w:rsidR="008423E4" w:rsidRPr="00E26B13" w:rsidRDefault="003C0190" w:rsidP="0055226B">
            <w:pPr>
              <w:rPr>
                <w:b/>
              </w:rPr>
            </w:pPr>
          </w:p>
        </w:tc>
      </w:tr>
      <w:tr w:rsidR="00C41DCF" w:rsidTr="00345119">
        <w:tc>
          <w:tcPr>
            <w:tcW w:w="9576" w:type="dxa"/>
          </w:tcPr>
          <w:p w:rsidR="0017725B" w:rsidRDefault="003C0190" w:rsidP="005522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C0190" w:rsidP="0055226B">
            <w:pPr>
              <w:rPr>
                <w:b/>
                <w:u w:val="single"/>
              </w:rPr>
            </w:pPr>
          </w:p>
          <w:p w:rsidR="006473F4" w:rsidRPr="006473F4" w:rsidRDefault="003C0190" w:rsidP="0055226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</w:t>
            </w:r>
            <w:r>
              <w:t>erson for community supervision, parole, or mandatory supervision.</w:t>
            </w:r>
          </w:p>
          <w:p w:rsidR="0017725B" w:rsidRPr="0017725B" w:rsidRDefault="003C0190" w:rsidP="0055226B">
            <w:pPr>
              <w:rPr>
                <w:b/>
                <w:u w:val="single"/>
              </w:rPr>
            </w:pPr>
          </w:p>
        </w:tc>
      </w:tr>
      <w:tr w:rsidR="00C41DCF" w:rsidTr="00345119">
        <w:tc>
          <w:tcPr>
            <w:tcW w:w="9576" w:type="dxa"/>
          </w:tcPr>
          <w:p w:rsidR="008423E4" w:rsidRPr="00A8133F" w:rsidRDefault="003C0190" w:rsidP="0055226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C0190" w:rsidP="0055226B"/>
          <w:p w:rsidR="006473F4" w:rsidRDefault="003C0190" w:rsidP="005522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State Board of Pharmacy in SECTION 1 of this bill.</w:t>
            </w:r>
          </w:p>
          <w:p w:rsidR="008423E4" w:rsidRPr="00E21FDC" w:rsidRDefault="003C0190" w:rsidP="0055226B">
            <w:pPr>
              <w:rPr>
                <w:b/>
              </w:rPr>
            </w:pPr>
          </w:p>
        </w:tc>
      </w:tr>
      <w:tr w:rsidR="00C41DCF" w:rsidTr="00345119">
        <w:tc>
          <w:tcPr>
            <w:tcW w:w="9576" w:type="dxa"/>
          </w:tcPr>
          <w:p w:rsidR="008423E4" w:rsidRPr="00A8133F" w:rsidRDefault="003C0190" w:rsidP="0055226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C0190" w:rsidP="0055226B"/>
          <w:p w:rsidR="00B34493" w:rsidRDefault="003C0190" w:rsidP="0055226B">
            <w:pPr>
              <w:pStyle w:val="Header"/>
              <w:jc w:val="both"/>
            </w:pPr>
            <w:r>
              <w:t>C.S.</w:t>
            </w:r>
            <w:r>
              <w:t xml:space="preserve">H.B. 2088 amends the </w:t>
            </w:r>
            <w:r>
              <w:t xml:space="preserve">Health </w:t>
            </w:r>
            <w:r>
              <w:t xml:space="preserve">and Safety Code to require a person dispensing a </w:t>
            </w:r>
            <w:r>
              <w:t xml:space="preserve">Schedule II </w:t>
            </w:r>
            <w:r>
              <w:t>controlled substance under a prescription</w:t>
            </w:r>
            <w:r>
              <w:t xml:space="preserve"> </w:t>
            </w:r>
            <w:r>
              <w:t xml:space="preserve">dispensed </w:t>
            </w:r>
            <w:r>
              <w:t>on or after January 1, 2020,</w:t>
            </w:r>
            <w:r>
              <w:t xml:space="preserve"> to provide written notice </w:t>
            </w:r>
            <w:r>
              <w:t>on the safe disposal of controlled substance prescription dr</w:t>
            </w:r>
            <w:r>
              <w:t>ugs, unless:</w:t>
            </w:r>
          </w:p>
          <w:p w:rsidR="00B34493" w:rsidRDefault="003C0190" w:rsidP="0055226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drug is dispensed at a pharmacy or other location that is authorized to take back those drugs for safe disposal and regularly accepts those drugs for safe disposal; or</w:t>
            </w:r>
          </w:p>
          <w:p w:rsidR="00B34493" w:rsidRDefault="003C0190" w:rsidP="0055226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dispenser provides to the person to whom the drug is dispensed, at </w:t>
            </w:r>
            <w:r>
              <w:t>the time of dispensation and at no cost to the person, a mail-in pouch for surrendering unused controlled substance prescription drugs or chemicals to render any unused drugs unusable or non-retrievable.</w:t>
            </w:r>
          </w:p>
          <w:p w:rsidR="005B25EA" w:rsidRDefault="003C0190" w:rsidP="0055226B">
            <w:pPr>
              <w:pStyle w:val="Header"/>
              <w:jc w:val="both"/>
            </w:pPr>
          </w:p>
          <w:p w:rsidR="008423E4" w:rsidRDefault="003C0190" w:rsidP="0055226B">
            <w:pPr>
              <w:pStyle w:val="Header"/>
              <w:jc w:val="both"/>
            </w:pPr>
            <w:r>
              <w:t>C.S.H.B. 2088</w:t>
            </w:r>
            <w:r>
              <w:t xml:space="preserve"> requires the Texas State Board of Pha</w:t>
            </w:r>
            <w:r>
              <w:t>rmacy (TSBP) to</w:t>
            </w:r>
            <w:r w:rsidRPr="006473F4">
              <w:t xml:space="preserve"> adopt rules for the form of the written notice</w:t>
            </w:r>
            <w:r>
              <w:t xml:space="preserve"> and</w:t>
            </w:r>
            <w:r>
              <w:t xml:space="preserve"> requires the notice to include information on locations at which Schedule II controlled substance prescription drugs</w:t>
            </w:r>
            <w:r>
              <w:t xml:space="preserve"> are accepted for safe disposal. The bill authorizes the notice, in lieu </w:t>
            </w:r>
            <w:r>
              <w:t xml:space="preserve">of listing such locations, to </w:t>
            </w:r>
            <w:r w:rsidRPr="00595A97">
              <w:t>provide the address of a</w:t>
            </w:r>
            <w:r>
              <w:t xml:space="preserve"> </w:t>
            </w:r>
            <w:r w:rsidRPr="00595A97">
              <w:t xml:space="preserve">website specified by the </w:t>
            </w:r>
            <w:r>
              <w:t>TSBP</w:t>
            </w:r>
            <w:r w:rsidRPr="00595A97">
              <w:t xml:space="preserve"> that provides a searchable database of </w:t>
            </w:r>
            <w:r>
              <w:t xml:space="preserve">the </w:t>
            </w:r>
            <w:r w:rsidRPr="00595A97">
              <w:t>locations.</w:t>
            </w:r>
            <w:r>
              <w:t xml:space="preserve"> The bill authorizes the TSBP to take disciplinary action against a person who fails to comply with the notice</w:t>
            </w:r>
            <w:r>
              <w:t xml:space="preserve"> require</w:t>
            </w:r>
            <w:r>
              <w:t>ment</w:t>
            </w:r>
            <w:r>
              <w:t>.</w:t>
            </w:r>
            <w:r w:rsidRPr="006473F4">
              <w:t xml:space="preserve"> </w:t>
            </w:r>
          </w:p>
          <w:p w:rsidR="008423E4" w:rsidRPr="00835628" w:rsidRDefault="003C0190" w:rsidP="0055226B">
            <w:pPr>
              <w:rPr>
                <w:b/>
              </w:rPr>
            </w:pPr>
          </w:p>
        </w:tc>
      </w:tr>
      <w:tr w:rsidR="00C41DCF" w:rsidTr="00345119">
        <w:tc>
          <w:tcPr>
            <w:tcW w:w="9576" w:type="dxa"/>
          </w:tcPr>
          <w:p w:rsidR="008423E4" w:rsidRPr="00A8133F" w:rsidRDefault="003C0190" w:rsidP="0055226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C0190" w:rsidP="0055226B"/>
          <w:p w:rsidR="008423E4" w:rsidRPr="003624F2" w:rsidRDefault="003C0190" w:rsidP="005522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473F4">
              <w:t>September 1, 2019.</w:t>
            </w:r>
          </w:p>
          <w:p w:rsidR="008423E4" w:rsidRPr="00233FDB" w:rsidRDefault="003C0190" w:rsidP="0055226B">
            <w:pPr>
              <w:rPr>
                <w:b/>
              </w:rPr>
            </w:pPr>
          </w:p>
        </w:tc>
      </w:tr>
      <w:tr w:rsidR="00C41DCF" w:rsidTr="00345119">
        <w:tc>
          <w:tcPr>
            <w:tcW w:w="9576" w:type="dxa"/>
          </w:tcPr>
          <w:p w:rsidR="002F7956" w:rsidRDefault="003C0190" w:rsidP="0055226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F4093" w:rsidRDefault="003C0190" w:rsidP="0055226B">
            <w:pPr>
              <w:jc w:val="both"/>
            </w:pPr>
          </w:p>
          <w:p w:rsidR="005F4093" w:rsidRDefault="003C0190" w:rsidP="0055226B">
            <w:pPr>
              <w:jc w:val="both"/>
            </w:pPr>
            <w:r>
              <w:t xml:space="preserve">While C.S.H.B. 2088 may differ from the original in minor or nonsubstantive ways, the following summarizes the substantial differences between the introduced and </w:t>
            </w:r>
            <w:r>
              <w:t>committee substitute versions of the bill.</w:t>
            </w:r>
          </w:p>
          <w:p w:rsidR="005F4093" w:rsidRDefault="003C0190" w:rsidP="0055226B">
            <w:pPr>
              <w:jc w:val="both"/>
            </w:pPr>
          </w:p>
          <w:p w:rsidR="007945EE" w:rsidRDefault="003C0190" w:rsidP="0055226B">
            <w:pPr>
              <w:jc w:val="both"/>
            </w:pPr>
            <w:r>
              <w:t xml:space="preserve">The substitute limits </w:t>
            </w:r>
            <w:r>
              <w:t xml:space="preserve">the applicability of the notice </w:t>
            </w:r>
            <w:r>
              <w:t xml:space="preserve">requirement </w:t>
            </w:r>
            <w:r>
              <w:t xml:space="preserve">to </w:t>
            </w:r>
            <w:r>
              <w:t>a person dispensing a Schedule II controlled substance</w:t>
            </w:r>
            <w:r>
              <w:t xml:space="preserve"> and includes exceptions to the requirement</w:t>
            </w:r>
            <w:r>
              <w:t>.</w:t>
            </w:r>
            <w:r>
              <w:t xml:space="preserve"> </w:t>
            </w:r>
            <w:r>
              <w:t xml:space="preserve">The substitute </w:t>
            </w:r>
            <w:r>
              <w:t xml:space="preserve">revises </w:t>
            </w:r>
            <w:r>
              <w:t>provisions relating t</w:t>
            </w:r>
            <w:r>
              <w:t>o the</w:t>
            </w:r>
            <w:r>
              <w:t xml:space="preserve"> </w:t>
            </w:r>
            <w:r>
              <w:t>contents of the notice.</w:t>
            </w:r>
          </w:p>
          <w:p w:rsidR="007945EE" w:rsidRDefault="003C0190" w:rsidP="0055226B">
            <w:pPr>
              <w:jc w:val="both"/>
            </w:pPr>
          </w:p>
          <w:p w:rsidR="0012038A" w:rsidRDefault="003C0190" w:rsidP="0055226B">
            <w:pPr>
              <w:jc w:val="both"/>
            </w:pPr>
            <w:r>
              <w:t>The substitute includes an authorization for the TSBP to take disciplinary action against a person who fails to comply with the notice requirement.</w:t>
            </w:r>
          </w:p>
          <w:p w:rsidR="0012038A" w:rsidRDefault="003C0190" w:rsidP="0055226B">
            <w:pPr>
              <w:jc w:val="both"/>
            </w:pPr>
          </w:p>
          <w:p w:rsidR="007945EE" w:rsidRDefault="003C0190" w:rsidP="0055226B">
            <w:pPr>
              <w:jc w:val="both"/>
            </w:pPr>
            <w:r>
              <w:t>The substitute does not include a requirement for the TSBP to maintain a lis</w:t>
            </w:r>
            <w:r>
              <w:t xml:space="preserve">t of locations at which controlled substance </w:t>
            </w:r>
            <w:r>
              <w:t>prescription drugs</w:t>
            </w:r>
            <w:r>
              <w:t xml:space="preserve"> </w:t>
            </w:r>
            <w:r>
              <w:t xml:space="preserve">are </w:t>
            </w:r>
            <w:r>
              <w:t>accepted for safe disposal</w:t>
            </w:r>
            <w:r>
              <w:t xml:space="preserve"> and to make that list available on its website</w:t>
            </w:r>
            <w:r>
              <w:t>.</w:t>
            </w:r>
          </w:p>
          <w:p w:rsidR="007945EE" w:rsidRDefault="003C0190" w:rsidP="0055226B">
            <w:pPr>
              <w:jc w:val="both"/>
            </w:pPr>
          </w:p>
          <w:p w:rsidR="005F4093" w:rsidRPr="005F4093" w:rsidRDefault="003C0190" w:rsidP="0055226B">
            <w:pPr>
              <w:jc w:val="both"/>
            </w:pPr>
            <w:r>
              <w:t xml:space="preserve">The substitute does not include </w:t>
            </w:r>
            <w:r>
              <w:t>a requirement for the TSBP to adopt rules for the manner of the notice. The subs</w:t>
            </w:r>
            <w:r>
              <w:t xml:space="preserve">titute does not include </w:t>
            </w:r>
            <w:r>
              <w:t>a deadline for the TSBP to adopt rules to prescribe the form of the notice.</w:t>
            </w:r>
          </w:p>
        </w:tc>
      </w:tr>
    </w:tbl>
    <w:p w:rsidR="008423E4" w:rsidRPr="00BE0E75" w:rsidRDefault="003C019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C019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0190">
      <w:r>
        <w:separator/>
      </w:r>
    </w:p>
  </w:endnote>
  <w:endnote w:type="continuationSeparator" w:id="0">
    <w:p w:rsidR="00000000" w:rsidRDefault="003C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C0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41DCF" w:rsidTr="009C1E9A">
      <w:trPr>
        <w:cantSplit/>
      </w:trPr>
      <w:tc>
        <w:tcPr>
          <w:tcW w:w="0" w:type="pct"/>
        </w:tcPr>
        <w:p w:rsidR="00137D90" w:rsidRDefault="003C01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C019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C019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C01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C01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1DCF" w:rsidTr="009C1E9A">
      <w:trPr>
        <w:cantSplit/>
      </w:trPr>
      <w:tc>
        <w:tcPr>
          <w:tcW w:w="0" w:type="pct"/>
        </w:tcPr>
        <w:p w:rsidR="00EC379B" w:rsidRDefault="003C01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C019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28637</w:t>
          </w:r>
        </w:p>
      </w:tc>
      <w:tc>
        <w:tcPr>
          <w:tcW w:w="2453" w:type="pct"/>
        </w:tcPr>
        <w:p w:rsidR="00EC379B" w:rsidRDefault="003C01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19.109.347</w:t>
          </w:r>
          <w:r>
            <w:fldChar w:fldCharType="end"/>
          </w:r>
        </w:p>
      </w:tc>
    </w:tr>
    <w:tr w:rsidR="00C41DCF" w:rsidTr="009C1E9A">
      <w:trPr>
        <w:cantSplit/>
      </w:trPr>
      <w:tc>
        <w:tcPr>
          <w:tcW w:w="0" w:type="pct"/>
        </w:tcPr>
        <w:p w:rsidR="00EC379B" w:rsidRDefault="003C019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C019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86R 27322</w:t>
          </w:r>
        </w:p>
      </w:tc>
      <w:tc>
        <w:tcPr>
          <w:tcW w:w="2453" w:type="pct"/>
        </w:tcPr>
        <w:p w:rsidR="00EC379B" w:rsidRDefault="003C0190" w:rsidP="006D504F">
          <w:pPr>
            <w:pStyle w:val="Footer"/>
            <w:rPr>
              <w:rStyle w:val="PageNumber"/>
            </w:rPr>
          </w:pPr>
        </w:p>
        <w:p w:rsidR="00EC379B" w:rsidRDefault="003C01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1DC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C019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3C019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C019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C0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0190">
      <w:r>
        <w:separator/>
      </w:r>
    </w:p>
  </w:footnote>
  <w:footnote w:type="continuationSeparator" w:id="0">
    <w:p w:rsidR="00000000" w:rsidRDefault="003C0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C0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C0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C0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952A2"/>
    <w:multiLevelType w:val="hybridMultilevel"/>
    <w:tmpl w:val="FB965E86"/>
    <w:lvl w:ilvl="0" w:tplc="0D92F81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56D21116" w:tentative="1">
      <w:start w:val="1"/>
      <w:numFmt w:val="lowerLetter"/>
      <w:lvlText w:val="%2."/>
      <w:lvlJc w:val="left"/>
      <w:pPr>
        <w:ind w:left="1440" w:hanging="360"/>
      </w:pPr>
    </w:lvl>
    <w:lvl w:ilvl="2" w:tplc="BC0A53F0" w:tentative="1">
      <w:start w:val="1"/>
      <w:numFmt w:val="lowerRoman"/>
      <w:lvlText w:val="%3."/>
      <w:lvlJc w:val="right"/>
      <w:pPr>
        <w:ind w:left="2160" w:hanging="180"/>
      </w:pPr>
    </w:lvl>
    <w:lvl w:ilvl="3" w:tplc="AD9CCA5A" w:tentative="1">
      <w:start w:val="1"/>
      <w:numFmt w:val="decimal"/>
      <w:lvlText w:val="%4."/>
      <w:lvlJc w:val="left"/>
      <w:pPr>
        <w:ind w:left="2880" w:hanging="360"/>
      </w:pPr>
    </w:lvl>
    <w:lvl w:ilvl="4" w:tplc="7FDEFEC0" w:tentative="1">
      <w:start w:val="1"/>
      <w:numFmt w:val="lowerLetter"/>
      <w:lvlText w:val="%5."/>
      <w:lvlJc w:val="left"/>
      <w:pPr>
        <w:ind w:left="3600" w:hanging="360"/>
      </w:pPr>
    </w:lvl>
    <w:lvl w:ilvl="5" w:tplc="B7FCC12A" w:tentative="1">
      <w:start w:val="1"/>
      <w:numFmt w:val="lowerRoman"/>
      <w:lvlText w:val="%6."/>
      <w:lvlJc w:val="right"/>
      <w:pPr>
        <w:ind w:left="4320" w:hanging="180"/>
      </w:pPr>
    </w:lvl>
    <w:lvl w:ilvl="6" w:tplc="23FE33BC" w:tentative="1">
      <w:start w:val="1"/>
      <w:numFmt w:val="decimal"/>
      <w:lvlText w:val="%7."/>
      <w:lvlJc w:val="left"/>
      <w:pPr>
        <w:ind w:left="5040" w:hanging="360"/>
      </w:pPr>
    </w:lvl>
    <w:lvl w:ilvl="7" w:tplc="0568D6FA" w:tentative="1">
      <w:start w:val="1"/>
      <w:numFmt w:val="lowerLetter"/>
      <w:lvlText w:val="%8."/>
      <w:lvlJc w:val="left"/>
      <w:pPr>
        <w:ind w:left="5760" w:hanging="360"/>
      </w:pPr>
    </w:lvl>
    <w:lvl w:ilvl="8" w:tplc="DD0CC1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E5561"/>
    <w:multiLevelType w:val="hybridMultilevel"/>
    <w:tmpl w:val="6E66DBF4"/>
    <w:lvl w:ilvl="0" w:tplc="8692F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86B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AC06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E74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CB0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7284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C6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425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85D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CF"/>
    <w:rsid w:val="003C0190"/>
    <w:rsid w:val="00C4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F05E95-8E1C-4CAD-AFC6-041337E9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473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73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73F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7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73F4"/>
    <w:rPr>
      <w:b/>
      <w:bCs/>
    </w:rPr>
  </w:style>
  <w:style w:type="paragraph" w:styleId="Revision">
    <w:name w:val="Revision"/>
    <w:hidden/>
    <w:uiPriority w:val="99"/>
    <w:semiHidden/>
    <w:rsid w:val="001003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2842</Characters>
  <Application>Microsoft Office Word</Application>
  <DocSecurity>4</DocSecurity>
  <Lines>74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HB02088 (Committee Report (Substituted))</vt:lpstr>
    </vt:vector>
  </TitlesOfParts>
  <Company>State of Texas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28637</dc:subject>
  <dc:creator>State of Texas</dc:creator>
  <dc:description>HB 2088 by Dean-(H)Public Health (Substitute Document Number: 86R 27322)</dc:description>
  <cp:lastModifiedBy>Laura Ramsay</cp:lastModifiedBy>
  <cp:revision>2</cp:revision>
  <cp:lastPrinted>2003-11-26T17:21:00Z</cp:lastPrinted>
  <dcterms:created xsi:type="dcterms:W3CDTF">2019-04-25T00:41:00Z</dcterms:created>
  <dcterms:modified xsi:type="dcterms:W3CDTF">2019-04-25T00:41:00Z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19.109.347</vt:lpwstr>
  </property>
</Properties>
</file>