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9E4984" w:rsidTr="00345119">
        <w:tc>
          <w:tcPr>
            <w:tcW w:w="9576" w:type="dxa"/>
            <w:noWrap/>
          </w:tcPr>
          <w:p w:rsidR="008423E4" w:rsidRPr="0022177D" w:rsidRDefault="00FF1B39" w:rsidP="00345119">
            <w:pPr>
              <w:pStyle w:val="Heading1"/>
            </w:pPr>
            <w:bookmarkStart w:id="0" w:name="_GoBack"/>
            <w:bookmarkEnd w:id="0"/>
            <w:r w:rsidRPr="00631897">
              <w:t>BILL ANALYSIS</w:t>
            </w:r>
          </w:p>
        </w:tc>
      </w:tr>
    </w:tbl>
    <w:p w:rsidR="008423E4" w:rsidRPr="0022177D" w:rsidRDefault="00FF1B39" w:rsidP="008423E4">
      <w:pPr>
        <w:jc w:val="center"/>
      </w:pPr>
    </w:p>
    <w:p w:rsidR="008423E4" w:rsidRPr="00B31F0E" w:rsidRDefault="00FF1B39" w:rsidP="008423E4"/>
    <w:p w:rsidR="008423E4" w:rsidRPr="00742794" w:rsidRDefault="00FF1B39" w:rsidP="008423E4">
      <w:pPr>
        <w:tabs>
          <w:tab w:val="right" w:pos="9360"/>
        </w:tabs>
      </w:pPr>
    </w:p>
    <w:tbl>
      <w:tblPr>
        <w:tblW w:w="0" w:type="auto"/>
        <w:tblLayout w:type="fixed"/>
        <w:tblLook w:val="01E0" w:firstRow="1" w:lastRow="1" w:firstColumn="1" w:lastColumn="1" w:noHBand="0" w:noVBand="0"/>
      </w:tblPr>
      <w:tblGrid>
        <w:gridCol w:w="9576"/>
      </w:tblGrid>
      <w:tr w:rsidR="009E4984" w:rsidTr="00345119">
        <w:tc>
          <w:tcPr>
            <w:tcW w:w="9576" w:type="dxa"/>
          </w:tcPr>
          <w:p w:rsidR="008423E4" w:rsidRPr="00861995" w:rsidRDefault="00FF1B39" w:rsidP="00345119">
            <w:pPr>
              <w:jc w:val="right"/>
            </w:pPr>
            <w:r>
              <w:t>C.S.H.B. 2091</w:t>
            </w:r>
          </w:p>
        </w:tc>
      </w:tr>
      <w:tr w:rsidR="009E4984" w:rsidTr="00345119">
        <w:tc>
          <w:tcPr>
            <w:tcW w:w="9576" w:type="dxa"/>
          </w:tcPr>
          <w:p w:rsidR="008423E4" w:rsidRPr="00861995" w:rsidRDefault="00FF1B39" w:rsidP="00A16894">
            <w:pPr>
              <w:jc w:val="right"/>
            </w:pPr>
            <w:r>
              <w:t xml:space="preserve">By: </w:t>
            </w:r>
            <w:r>
              <w:t>Ortega</w:t>
            </w:r>
          </w:p>
        </w:tc>
      </w:tr>
      <w:tr w:rsidR="009E4984" w:rsidTr="00345119">
        <w:tc>
          <w:tcPr>
            <w:tcW w:w="9576" w:type="dxa"/>
          </w:tcPr>
          <w:p w:rsidR="008423E4" w:rsidRPr="00861995" w:rsidRDefault="00FF1B39" w:rsidP="00345119">
            <w:pPr>
              <w:jc w:val="right"/>
            </w:pPr>
            <w:r>
              <w:t>Human Services</w:t>
            </w:r>
          </w:p>
        </w:tc>
      </w:tr>
      <w:tr w:rsidR="009E4984" w:rsidTr="00345119">
        <w:tc>
          <w:tcPr>
            <w:tcW w:w="9576" w:type="dxa"/>
          </w:tcPr>
          <w:p w:rsidR="008423E4" w:rsidRDefault="00FF1B39" w:rsidP="00345119">
            <w:pPr>
              <w:jc w:val="right"/>
            </w:pPr>
            <w:r>
              <w:t>Committee Report (Substituted)</w:t>
            </w:r>
          </w:p>
        </w:tc>
      </w:tr>
    </w:tbl>
    <w:p w:rsidR="008423E4" w:rsidRDefault="00FF1B39" w:rsidP="008423E4">
      <w:pPr>
        <w:tabs>
          <w:tab w:val="right" w:pos="9360"/>
        </w:tabs>
      </w:pPr>
    </w:p>
    <w:p w:rsidR="008423E4" w:rsidRDefault="00FF1B39" w:rsidP="008423E4"/>
    <w:p w:rsidR="008423E4" w:rsidRDefault="00FF1B39" w:rsidP="008423E4"/>
    <w:tbl>
      <w:tblPr>
        <w:tblW w:w="0" w:type="auto"/>
        <w:tblCellMar>
          <w:left w:w="115" w:type="dxa"/>
          <w:right w:w="115" w:type="dxa"/>
        </w:tblCellMar>
        <w:tblLook w:val="01E0" w:firstRow="1" w:lastRow="1" w:firstColumn="1" w:lastColumn="1" w:noHBand="0" w:noVBand="0"/>
      </w:tblPr>
      <w:tblGrid>
        <w:gridCol w:w="9576"/>
      </w:tblGrid>
      <w:tr w:rsidR="009E4984" w:rsidTr="00345119">
        <w:tc>
          <w:tcPr>
            <w:tcW w:w="9576" w:type="dxa"/>
          </w:tcPr>
          <w:p w:rsidR="008423E4" w:rsidRPr="00A8133F" w:rsidRDefault="00FF1B39" w:rsidP="00750245">
            <w:pPr>
              <w:rPr>
                <w:b/>
              </w:rPr>
            </w:pPr>
            <w:r w:rsidRPr="009C1E9A">
              <w:rPr>
                <w:b/>
                <w:u w:val="single"/>
              </w:rPr>
              <w:t>BACKGROUND AND PURPOSE</w:t>
            </w:r>
            <w:r>
              <w:rPr>
                <w:b/>
              </w:rPr>
              <w:t xml:space="preserve"> </w:t>
            </w:r>
          </w:p>
          <w:p w:rsidR="008423E4" w:rsidRDefault="00FF1B39" w:rsidP="00750245"/>
          <w:p w:rsidR="008423E4" w:rsidRDefault="00FF1B39" w:rsidP="00750245">
            <w:pPr>
              <w:pStyle w:val="Header"/>
              <w:jc w:val="both"/>
            </w:pPr>
            <w:r>
              <w:t>It has been observed that community health workers, also known as promotoras</w:t>
            </w:r>
            <w:r>
              <w:t xml:space="preserve">, are an important resource used to ensure quality access to health care within Medicaid managed care organizations. Currently, costs associated with these workers are considered an administrative expense, which are capped at a certain amount. </w:t>
            </w:r>
            <w:r>
              <w:t>C.S.</w:t>
            </w:r>
            <w:r>
              <w:t>H.B. 209</w:t>
            </w:r>
            <w:r>
              <w:t xml:space="preserve">1 seeks to address a funding barrier to hiring additional community health workers by requiring managed care organizations that are contracted to provide services through the STAR Medicaid managed care program to </w:t>
            </w:r>
            <w:r w:rsidRPr="000E468D">
              <w:t>categorize services provided by a promotora</w:t>
            </w:r>
            <w:r w:rsidRPr="000E468D">
              <w:t xml:space="preserve"> or community health </w:t>
            </w:r>
            <w:r>
              <w:t>worker as a quality improvement.</w:t>
            </w:r>
          </w:p>
          <w:p w:rsidR="008423E4" w:rsidRPr="00E26B13" w:rsidRDefault="00FF1B39" w:rsidP="00750245">
            <w:pPr>
              <w:rPr>
                <w:b/>
              </w:rPr>
            </w:pPr>
          </w:p>
        </w:tc>
      </w:tr>
      <w:tr w:rsidR="009E4984" w:rsidTr="00345119">
        <w:tc>
          <w:tcPr>
            <w:tcW w:w="9576" w:type="dxa"/>
          </w:tcPr>
          <w:p w:rsidR="0017725B" w:rsidRDefault="00FF1B39" w:rsidP="00750245">
            <w:pPr>
              <w:rPr>
                <w:b/>
                <w:u w:val="single"/>
              </w:rPr>
            </w:pPr>
            <w:r>
              <w:rPr>
                <w:b/>
                <w:u w:val="single"/>
              </w:rPr>
              <w:t>CRIMINAL JUSTICE IMPACT</w:t>
            </w:r>
          </w:p>
          <w:p w:rsidR="0017725B" w:rsidRDefault="00FF1B39" w:rsidP="00750245">
            <w:pPr>
              <w:rPr>
                <w:b/>
                <w:u w:val="single"/>
              </w:rPr>
            </w:pPr>
          </w:p>
          <w:p w:rsidR="00CF77CE" w:rsidRPr="00CF77CE" w:rsidRDefault="00FF1B39" w:rsidP="00750245">
            <w:pPr>
              <w:jc w:val="both"/>
            </w:pPr>
            <w:r>
              <w:t>It is the committee's opinion that this bill does not expressly create a criminal offense, increase the punishment for an existing criminal offense or category of offenses, or</w:t>
            </w:r>
            <w:r>
              <w:t xml:space="preserve"> change the eligibility of a person for community supervision, parole, or mandatory supervision.</w:t>
            </w:r>
          </w:p>
          <w:p w:rsidR="0017725B" w:rsidRPr="0017725B" w:rsidRDefault="00FF1B39" w:rsidP="00750245">
            <w:pPr>
              <w:rPr>
                <w:b/>
                <w:u w:val="single"/>
              </w:rPr>
            </w:pPr>
          </w:p>
        </w:tc>
      </w:tr>
      <w:tr w:rsidR="009E4984" w:rsidTr="00345119">
        <w:tc>
          <w:tcPr>
            <w:tcW w:w="9576" w:type="dxa"/>
          </w:tcPr>
          <w:p w:rsidR="008423E4" w:rsidRPr="00A8133F" w:rsidRDefault="00FF1B39" w:rsidP="00750245">
            <w:pPr>
              <w:rPr>
                <w:b/>
              </w:rPr>
            </w:pPr>
            <w:r w:rsidRPr="009C1E9A">
              <w:rPr>
                <w:b/>
                <w:u w:val="single"/>
              </w:rPr>
              <w:t>RULEMAKING AUTHORITY</w:t>
            </w:r>
            <w:r>
              <w:rPr>
                <w:b/>
              </w:rPr>
              <w:t xml:space="preserve"> </w:t>
            </w:r>
          </w:p>
          <w:p w:rsidR="008423E4" w:rsidRDefault="00FF1B39" w:rsidP="00750245"/>
          <w:p w:rsidR="00CF77CE" w:rsidRDefault="00FF1B39" w:rsidP="00750245">
            <w:pPr>
              <w:pStyle w:val="Header"/>
              <w:tabs>
                <w:tab w:val="clear" w:pos="4320"/>
                <w:tab w:val="clear" w:pos="8640"/>
              </w:tabs>
              <w:jc w:val="both"/>
            </w:pPr>
            <w:r>
              <w:t xml:space="preserve">It is the committee's opinion that this bill does not expressly grant any additional rulemaking authority to a state officer, </w:t>
            </w:r>
            <w:r>
              <w:t>department, agency, or institution.</w:t>
            </w:r>
          </w:p>
          <w:p w:rsidR="008423E4" w:rsidRPr="00E21FDC" w:rsidRDefault="00FF1B39" w:rsidP="00750245">
            <w:pPr>
              <w:rPr>
                <w:b/>
              </w:rPr>
            </w:pPr>
          </w:p>
        </w:tc>
      </w:tr>
      <w:tr w:rsidR="009E4984" w:rsidTr="00345119">
        <w:tc>
          <w:tcPr>
            <w:tcW w:w="9576" w:type="dxa"/>
          </w:tcPr>
          <w:p w:rsidR="008423E4" w:rsidRPr="00A8133F" w:rsidRDefault="00FF1B39" w:rsidP="00750245">
            <w:pPr>
              <w:rPr>
                <w:b/>
              </w:rPr>
            </w:pPr>
            <w:r w:rsidRPr="009C1E9A">
              <w:rPr>
                <w:b/>
                <w:u w:val="single"/>
              </w:rPr>
              <w:t>ANALYSIS</w:t>
            </w:r>
            <w:r>
              <w:rPr>
                <w:b/>
              </w:rPr>
              <w:t xml:space="preserve"> </w:t>
            </w:r>
          </w:p>
          <w:p w:rsidR="008423E4" w:rsidRDefault="00FF1B39" w:rsidP="00750245"/>
          <w:p w:rsidR="008423E4" w:rsidRDefault="00FF1B39" w:rsidP="00750245">
            <w:pPr>
              <w:pStyle w:val="Header"/>
              <w:tabs>
                <w:tab w:val="clear" w:pos="4320"/>
                <w:tab w:val="clear" w:pos="8640"/>
              </w:tabs>
              <w:jc w:val="both"/>
            </w:pPr>
            <w:r>
              <w:t>C.S.</w:t>
            </w:r>
            <w:r>
              <w:t xml:space="preserve">H.B. </w:t>
            </w:r>
            <w:r>
              <w:t>2091</w:t>
            </w:r>
            <w:r>
              <w:t xml:space="preserve"> amends the Government Code to require the Health and Human Services Commission (HHSC) to allow each managed </w:t>
            </w:r>
            <w:r w:rsidRPr="00F54AE2">
              <w:t>care organ</w:t>
            </w:r>
            <w:r>
              <w:t xml:space="preserve">ization that contracts with HHSC </w:t>
            </w:r>
            <w:r w:rsidRPr="00F54AE2">
              <w:t xml:space="preserve">to provide health care services to recipients under the STAR Medicaid managed care program to categorize services provided by </w:t>
            </w:r>
            <w:r>
              <w:t xml:space="preserve">a promotora or community health </w:t>
            </w:r>
            <w:r w:rsidRPr="00F54AE2">
              <w:t>worker as a quality improvement cost</w:t>
            </w:r>
            <w:r>
              <w:t>, as authorized by federal law,</w:t>
            </w:r>
            <w:r w:rsidRPr="00F54AE2">
              <w:t xml:space="preserve"> instead of</w:t>
            </w:r>
            <w:r>
              <w:t xml:space="preserve"> as</w:t>
            </w:r>
            <w:r w:rsidRPr="00F54AE2">
              <w:t xml:space="preserve"> an administrativ</w:t>
            </w:r>
            <w:r w:rsidRPr="00F54AE2">
              <w:t>e expense.</w:t>
            </w:r>
            <w:r>
              <w:t xml:space="preserve">            </w:t>
            </w:r>
          </w:p>
          <w:p w:rsidR="008423E4" w:rsidRPr="00835628" w:rsidRDefault="00FF1B39" w:rsidP="00750245">
            <w:pPr>
              <w:rPr>
                <w:b/>
              </w:rPr>
            </w:pPr>
          </w:p>
        </w:tc>
      </w:tr>
      <w:tr w:rsidR="009E4984" w:rsidTr="00345119">
        <w:tc>
          <w:tcPr>
            <w:tcW w:w="9576" w:type="dxa"/>
          </w:tcPr>
          <w:p w:rsidR="008423E4" w:rsidRPr="00A8133F" w:rsidRDefault="00FF1B39" w:rsidP="00750245">
            <w:pPr>
              <w:rPr>
                <w:b/>
              </w:rPr>
            </w:pPr>
            <w:r w:rsidRPr="009C1E9A">
              <w:rPr>
                <w:b/>
                <w:u w:val="single"/>
              </w:rPr>
              <w:t>EFFECTIVE DATE</w:t>
            </w:r>
            <w:r>
              <w:rPr>
                <w:b/>
              </w:rPr>
              <w:t xml:space="preserve"> </w:t>
            </w:r>
          </w:p>
          <w:p w:rsidR="008423E4" w:rsidRDefault="00FF1B39" w:rsidP="00750245"/>
          <w:p w:rsidR="008423E4" w:rsidRPr="003624F2" w:rsidRDefault="00FF1B39" w:rsidP="00750245">
            <w:pPr>
              <w:pStyle w:val="Header"/>
              <w:tabs>
                <w:tab w:val="clear" w:pos="4320"/>
                <w:tab w:val="clear" w:pos="8640"/>
              </w:tabs>
              <w:jc w:val="both"/>
            </w:pPr>
            <w:r>
              <w:t>On passage, or, if the bill does not receive the necessary vote, September 1, 2019.</w:t>
            </w:r>
          </w:p>
          <w:p w:rsidR="008423E4" w:rsidRPr="00233FDB" w:rsidRDefault="00FF1B39" w:rsidP="00750245">
            <w:pPr>
              <w:rPr>
                <w:b/>
              </w:rPr>
            </w:pPr>
          </w:p>
        </w:tc>
      </w:tr>
      <w:tr w:rsidR="009E4984" w:rsidTr="00345119">
        <w:tc>
          <w:tcPr>
            <w:tcW w:w="9576" w:type="dxa"/>
          </w:tcPr>
          <w:p w:rsidR="00A16894" w:rsidRDefault="00FF1B39" w:rsidP="00750245">
            <w:pPr>
              <w:jc w:val="both"/>
              <w:rPr>
                <w:b/>
                <w:u w:val="single"/>
              </w:rPr>
            </w:pPr>
            <w:r>
              <w:rPr>
                <w:b/>
                <w:u w:val="single"/>
              </w:rPr>
              <w:t>COMPARISON OF ORIGINAL AND SUBSTITUTE</w:t>
            </w:r>
          </w:p>
          <w:p w:rsidR="00DE41DE" w:rsidRDefault="00FF1B39" w:rsidP="00750245">
            <w:pPr>
              <w:jc w:val="both"/>
            </w:pPr>
          </w:p>
          <w:p w:rsidR="00DE41DE" w:rsidRDefault="00FF1B39" w:rsidP="00750245">
            <w:pPr>
              <w:jc w:val="both"/>
            </w:pPr>
            <w:r>
              <w:t>While C.S.H.B. 2091 may differ from the original in minor or nonsubstantive ways, the fol</w:t>
            </w:r>
            <w:r>
              <w:t>lowing summarizes the substantial differences between the introduced and committee substitute versions of the bill.</w:t>
            </w:r>
          </w:p>
          <w:p w:rsidR="00DE41DE" w:rsidRDefault="00FF1B39" w:rsidP="00750245">
            <w:pPr>
              <w:jc w:val="both"/>
            </w:pPr>
          </w:p>
          <w:p w:rsidR="00B54224" w:rsidRDefault="00FF1B39" w:rsidP="00750245">
            <w:pPr>
              <w:jc w:val="both"/>
            </w:pPr>
            <w:r>
              <w:t>The substitute includes a specification that the requirement applies only with respect to the categorization of services as authorized by f</w:t>
            </w:r>
            <w:r>
              <w:t>ederal law.</w:t>
            </w:r>
          </w:p>
          <w:p w:rsidR="00B54224" w:rsidRPr="00B54224" w:rsidRDefault="00FF1B39" w:rsidP="00750245">
            <w:pPr>
              <w:jc w:val="both"/>
            </w:pPr>
          </w:p>
        </w:tc>
      </w:tr>
      <w:tr w:rsidR="009E4984" w:rsidTr="00345119">
        <w:tc>
          <w:tcPr>
            <w:tcW w:w="9576" w:type="dxa"/>
          </w:tcPr>
          <w:p w:rsidR="00A16894" w:rsidRPr="009C1E9A" w:rsidRDefault="00FF1B39" w:rsidP="00750245">
            <w:pPr>
              <w:rPr>
                <w:b/>
                <w:u w:val="single"/>
              </w:rPr>
            </w:pPr>
          </w:p>
        </w:tc>
      </w:tr>
      <w:tr w:rsidR="009E4984" w:rsidTr="00345119">
        <w:tc>
          <w:tcPr>
            <w:tcW w:w="9576" w:type="dxa"/>
          </w:tcPr>
          <w:p w:rsidR="00A16894" w:rsidRPr="00A16894" w:rsidRDefault="00FF1B39" w:rsidP="00750245">
            <w:pPr>
              <w:jc w:val="both"/>
            </w:pPr>
          </w:p>
        </w:tc>
      </w:tr>
    </w:tbl>
    <w:p w:rsidR="004108C3" w:rsidRPr="008423E4" w:rsidRDefault="00FF1B39"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F1B39">
      <w:r>
        <w:separator/>
      </w:r>
    </w:p>
  </w:endnote>
  <w:endnote w:type="continuationSeparator" w:id="0">
    <w:p w:rsidR="00000000" w:rsidRDefault="00FF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F1B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9E4984" w:rsidTr="009C1E9A">
      <w:trPr>
        <w:cantSplit/>
      </w:trPr>
      <w:tc>
        <w:tcPr>
          <w:tcW w:w="0" w:type="pct"/>
        </w:tcPr>
        <w:p w:rsidR="00137D90" w:rsidRDefault="00FF1B39" w:rsidP="009C1E9A">
          <w:pPr>
            <w:pStyle w:val="Footer"/>
            <w:tabs>
              <w:tab w:val="clear" w:pos="8640"/>
              <w:tab w:val="right" w:pos="9360"/>
            </w:tabs>
          </w:pPr>
        </w:p>
      </w:tc>
      <w:tc>
        <w:tcPr>
          <w:tcW w:w="2395" w:type="pct"/>
        </w:tcPr>
        <w:p w:rsidR="00137D90" w:rsidRDefault="00FF1B39" w:rsidP="009C1E9A">
          <w:pPr>
            <w:pStyle w:val="Footer"/>
            <w:tabs>
              <w:tab w:val="clear" w:pos="8640"/>
              <w:tab w:val="right" w:pos="9360"/>
            </w:tabs>
          </w:pPr>
        </w:p>
        <w:p w:rsidR="001A4310" w:rsidRDefault="00FF1B39" w:rsidP="009C1E9A">
          <w:pPr>
            <w:pStyle w:val="Footer"/>
            <w:tabs>
              <w:tab w:val="clear" w:pos="8640"/>
              <w:tab w:val="right" w:pos="9360"/>
            </w:tabs>
          </w:pPr>
        </w:p>
        <w:p w:rsidR="00137D90" w:rsidRDefault="00FF1B39" w:rsidP="009C1E9A">
          <w:pPr>
            <w:pStyle w:val="Footer"/>
            <w:tabs>
              <w:tab w:val="clear" w:pos="8640"/>
              <w:tab w:val="right" w:pos="9360"/>
            </w:tabs>
          </w:pPr>
        </w:p>
      </w:tc>
      <w:tc>
        <w:tcPr>
          <w:tcW w:w="2453" w:type="pct"/>
        </w:tcPr>
        <w:p w:rsidR="00137D90" w:rsidRDefault="00FF1B39" w:rsidP="009C1E9A">
          <w:pPr>
            <w:pStyle w:val="Footer"/>
            <w:tabs>
              <w:tab w:val="clear" w:pos="8640"/>
              <w:tab w:val="right" w:pos="9360"/>
            </w:tabs>
            <w:jc w:val="right"/>
          </w:pPr>
        </w:p>
      </w:tc>
    </w:tr>
    <w:tr w:rsidR="009E4984" w:rsidTr="009C1E9A">
      <w:trPr>
        <w:cantSplit/>
      </w:trPr>
      <w:tc>
        <w:tcPr>
          <w:tcW w:w="0" w:type="pct"/>
        </w:tcPr>
        <w:p w:rsidR="00EC379B" w:rsidRDefault="00FF1B39" w:rsidP="009C1E9A">
          <w:pPr>
            <w:pStyle w:val="Footer"/>
            <w:tabs>
              <w:tab w:val="clear" w:pos="8640"/>
              <w:tab w:val="right" w:pos="9360"/>
            </w:tabs>
          </w:pPr>
        </w:p>
      </w:tc>
      <w:tc>
        <w:tcPr>
          <w:tcW w:w="2395" w:type="pct"/>
        </w:tcPr>
        <w:p w:rsidR="00EC379B" w:rsidRPr="009C1E9A" w:rsidRDefault="00FF1B39" w:rsidP="009C1E9A">
          <w:pPr>
            <w:pStyle w:val="Footer"/>
            <w:tabs>
              <w:tab w:val="clear" w:pos="8640"/>
              <w:tab w:val="right" w:pos="9360"/>
            </w:tabs>
            <w:rPr>
              <w:rFonts w:ascii="Shruti" w:hAnsi="Shruti"/>
              <w:sz w:val="22"/>
            </w:rPr>
          </w:pPr>
          <w:r>
            <w:rPr>
              <w:rFonts w:ascii="Shruti" w:hAnsi="Shruti"/>
              <w:sz w:val="22"/>
            </w:rPr>
            <w:t>86R 26276</w:t>
          </w:r>
        </w:p>
      </w:tc>
      <w:tc>
        <w:tcPr>
          <w:tcW w:w="2453" w:type="pct"/>
        </w:tcPr>
        <w:p w:rsidR="00EC379B" w:rsidRDefault="00FF1B39" w:rsidP="009C1E9A">
          <w:pPr>
            <w:pStyle w:val="Footer"/>
            <w:tabs>
              <w:tab w:val="clear" w:pos="8640"/>
              <w:tab w:val="right" w:pos="9360"/>
            </w:tabs>
            <w:jc w:val="right"/>
          </w:pPr>
          <w:r>
            <w:fldChar w:fldCharType="begin"/>
          </w:r>
          <w:r>
            <w:instrText xml:space="preserve"> DOCPROPERTY  OTID  \* MERGEFORMAT </w:instrText>
          </w:r>
          <w:r>
            <w:fldChar w:fldCharType="separate"/>
          </w:r>
          <w:r>
            <w:t>19.100.866</w:t>
          </w:r>
          <w:r>
            <w:fldChar w:fldCharType="end"/>
          </w:r>
        </w:p>
      </w:tc>
    </w:tr>
    <w:tr w:rsidR="009E4984" w:rsidTr="009C1E9A">
      <w:trPr>
        <w:cantSplit/>
      </w:trPr>
      <w:tc>
        <w:tcPr>
          <w:tcW w:w="0" w:type="pct"/>
        </w:tcPr>
        <w:p w:rsidR="00EC379B" w:rsidRDefault="00FF1B39" w:rsidP="009C1E9A">
          <w:pPr>
            <w:pStyle w:val="Footer"/>
            <w:tabs>
              <w:tab w:val="clear" w:pos="4320"/>
              <w:tab w:val="clear" w:pos="8640"/>
              <w:tab w:val="left" w:pos="2865"/>
            </w:tabs>
          </w:pPr>
        </w:p>
      </w:tc>
      <w:tc>
        <w:tcPr>
          <w:tcW w:w="2395" w:type="pct"/>
        </w:tcPr>
        <w:p w:rsidR="00EC379B" w:rsidRPr="009C1E9A" w:rsidRDefault="00FF1B39" w:rsidP="009C1E9A">
          <w:pPr>
            <w:pStyle w:val="Footer"/>
            <w:tabs>
              <w:tab w:val="clear" w:pos="4320"/>
              <w:tab w:val="clear" w:pos="8640"/>
              <w:tab w:val="left" w:pos="2865"/>
            </w:tabs>
            <w:rPr>
              <w:rFonts w:ascii="Shruti" w:hAnsi="Shruti"/>
              <w:sz w:val="22"/>
            </w:rPr>
          </w:pPr>
          <w:r>
            <w:rPr>
              <w:rFonts w:ascii="Shruti" w:hAnsi="Shruti"/>
              <w:sz w:val="22"/>
            </w:rPr>
            <w:t>Substitute Document Number: 86R 21430</w:t>
          </w:r>
        </w:p>
      </w:tc>
      <w:tc>
        <w:tcPr>
          <w:tcW w:w="2453" w:type="pct"/>
        </w:tcPr>
        <w:p w:rsidR="00EC379B" w:rsidRDefault="00FF1B39" w:rsidP="006D504F">
          <w:pPr>
            <w:pStyle w:val="Footer"/>
            <w:rPr>
              <w:rStyle w:val="PageNumber"/>
            </w:rPr>
          </w:pPr>
        </w:p>
        <w:p w:rsidR="00EC379B" w:rsidRDefault="00FF1B39" w:rsidP="009C1E9A">
          <w:pPr>
            <w:pStyle w:val="Footer"/>
            <w:tabs>
              <w:tab w:val="clear" w:pos="8640"/>
              <w:tab w:val="right" w:pos="9360"/>
            </w:tabs>
            <w:jc w:val="right"/>
          </w:pPr>
        </w:p>
      </w:tc>
    </w:tr>
    <w:tr w:rsidR="009E4984" w:rsidTr="009C1E9A">
      <w:trPr>
        <w:cantSplit/>
        <w:trHeight w:val="323"/>
      </w:trPr>
      <w:tc>
        <w:tcPr>
          <w:tcW w:w="0" w:type="pct"/>
          <w:gridSpan w:val="3"/>
        </w:tcPr>
        <w:p w:rsidR="00EC379B" w:rsidRDefault="00FF1B3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F1B39" w:rsidP="009C1E9A">
          <w:pPr>
            <w:pStyle w:val="Footer"/>
            <w:tabs>
              <w:tab w:val="clear" w:pos="8640"/>
              <w:tab w:val="right" w:pos="9360"/>
            </w:tabs>
            <w:jc w:val="center"/>
          </w:pPr>
        </w:p>
      </w:tc>
    </w:tr>
  </w:tbl>
  <w:p w:rsidR="00EC379B" w:rsidRPr="00FF6F72" w:rsidRDefault="00FF1B39"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F1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F1B39">
      <w:r>
        <w:separator/>
      </w:r>
    </w:p>
  </w:footnote>
  <w:footnote w:type="continuationSeparator" w:id="0">
    <w:p w:rsidR="00000000" w:rsidRDefault="00FF1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F1B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F1B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F1B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984"/>
    <w:rsid w:val="009E4984"/>
    <w:rsid w:val="00FF1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6DC3D7-9E00-4344-B398-18B08BB7F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F54AE2"/>
    <w:rPr>
      <w:sz w:val="16"/>
      <w:szCs w:val="16"/>
    </w:rPr>
  </w:style>
  <w:style w:type="paragraph" w:styleId="CommentText">
    <w:name w:val="annotation text"/>
    <w:basedOn w:val="Normal"/>
    <w:link w:val="CommentTextChar"/>
    <w:semiHidden/>
    <w:unhideWhenUsed/>
    <w:rsid w:val="00F54AE2"/>
    <w:rPr>
      <w:sz w:val="20"/>
      <w:szCs w:val="20"/>
    </w:rPr>
  </w:style>
  <w:style w:type="character" w:customStyle="1" w:styleId="CommentTextChar">
    <w:name w:val="Comment Text Char"/>
    <w:basedOn w:val="DefaultParagraphFont"/>
    <w:link w:val="CommentText"/>
    <w:semiHidden/>
    <w:rsid w:val="00F54AE2"/>
  </w:style>
  <w:style w:type="paragraph" w:styleId="CommentSubject">
    <w:name w:val="annotation subject"/>
    <w:basedOn w:val="CommentText"/>
    <w:next w:val="CommentText"/>
    <w:link w:val="CommentSubjectChar"/>
    <w:semiHidden/>
    <w:unhideWhenUsed/>
    <w:rsid w:val="00F54AE2"/>
    <w:rPr>
      <w:b/>
      <w:bCs/>
    </w:rPr>
  </w:style>
  <w:style w:type="character" w:customStyle="1" w:styleId="CommentSubjectChar">
    <w:name w:val="Comment Subject Char"/>
    <w:basedOn w:val="CommentTextChar"/>
    <w:link w:val="CommentSubject"/>
    <w:semiHidden/>
    <w:rsid w:val="00F54A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1845</Characters>
  <Application>Microsoft Office Word</Application>
  <DocSecurity>4</DocSecurity>
  <Lines>55</Lines>
  <Paragraphs>18</Paragraphs>
  <ScaleCrop>false</ScaleCrop>
  <HeadingPairs>
    <vt:vector size="2" baseType="variant">
      <vt:variant>
        <vt:lpstr>Title</vt:lpstr>
      </vt:variant>
      <vt:variant>
        <vt:i4>1</vt:i4>
      </vt:variant>
    </vt:vector>
  </HeadingPairs>
  <TitlesOfParts>
    <vt:vector size="1" baseType="lpstr">
      <vt:lpstr>BA - HB02091 (Committee Report (Substituted))</vt:lpstr>
    </vt:vector>
  </TitlesOfParts>
  <Company>State of Texas</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26276</dc:subject>
  <dc:creator>State of Texas</dc:creator>
  <dc:description>HB 2091 by Ortega-(H)Human Services (Substitute Document Number: 86R 21430)</dc:description>
  <cp:lastModifiedBy>Stacey Nicchio</cp:lastModifiedBy>
  <cp:revision>2</cp:revision>
  <cp:lastPrinted>2003-11-26T17:21:00Z</cp:lastPrinted>
  <dcterms:created xsi:type="dcterms:W3CDTF">2019-04-15T22:09:00Z</dcterms:created>
  <dcterms:modified xsi:type="dcterms:W3CDTF">2019-04-15T22:09:00Z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19.100.866</vt:lpwstr>
  </property>
</Properties>
</file>