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F5E9B" w:rsidTr="00345119">
        <w:tc>
          <w:tcPr>
            <w:tcW w:w="9576" w:type="dxa"/>
            <w:noWrap/>
          </w:tcPr>
          <w:p w:rsidR="008423E4" w:rsidRPr="0022177D" w:rsidRDefault="001B1CF2" w:rsidP="00345119">
            <w:pPr>
              <w:pStyle w:val="Heading1"/>
            </w:pPr>
            <w:bookmarkStart w:id="0" w:name="_GoBack"/>
            <w:bookmarkEnd w:id="0"/>
            <w:r w:rsidRPr="00631897">
              <w:t>BILL ANALYSIS</w:t>
            </w:r>
          </w:p>
        </w:tc>
      </w:tr>
    </w:tbl>
    <w:p w:rsidR="008423E4" w:rsidRPr="0022177D" w:rsidRDefault="001B1CF2" w:rsidP="008423E4">
      <w:pPr>
        <w:jc w:val="center"/>
      </w:pPr>
    </w:p>
    <w:p w:rsidR="008423E4" w:rsidRPr="00F461FC" w:rsidRDefault="001B1CF2" w:rsidP="008423E4">
      <w:pPr>
        <w:rPr>
          <w:sz w:val="22"/>
        </w:rPr>
      </w:pPr>
    </w:p>
    <w:p w:rsidR="008423E4" w:rsidRPr="00F461FC" w:rsidRDefault="001B1CF2" w:rsidP="008423E4">
      <w:pPr>
        <w:tabs>
          <w:tab w:val="right" w:pos="9360"/>
        </w:tabs>
        <w:rPr>
          <w:sz w:val="22"/>
        </w:rPr>
      </w:pPr>
    </w:p>
    <w:tbl>
      <w:tblPr>
        <w:tblW w:w="0" w:type="auto"/>
        <w:tblLayout w:type="fixed"/>
        <w:tblLook w:val="01E0" w:firstRow="1" w:lastRow="1" w:firstColumn="1" w:lastColumn="1" w:noHBand="0" w:noVBand="0"/>
      </w:tblPr>
      <w:tblGrid>
        <w:gridCol w:w="9576"/>
      </w:tblGrid>
      <w:tr w:rsidR="00BF5E9B" w:rsidTr="00345119">
        <w:tc>
          <w:tcPr>
            <w:tcW w:w="9576" w:type="dxa"/>
          </w:tcPr>
          <w:p w:rsidR="008423E4" w:rsidRPr="00861995" w:rsidRDefault="001B1CF2" w:rsidP="00345119">
            <w:pPr>
              <w:jc w:val="right"/>
            </w:pPr>
            <w:r>
              <w:t>C.S.H.B. 2099</w:t>
            </w:r>
          </w:p>
        </w:tc>
      </w:tr>
      <w:tr w:rsidR="00BF5E9B" w:rsidTr="00345119">
        <w:tc>
          <w:tcPr>
            <w:tcW w:w="9576" w:type="dxa"/>
          </w:tcPr>
          <w:p w:rsidR="008423E4" w:rsidRPr="00861995" w:rsidRDefault="001B1CF2" w:rsidP="00896770">
            <w:pPr>
              <w:jc w:val="right"/>
            </w:pPr>
            <w:r>
              <w:t xml:space="preserve">By: </w:t>
            </w:r>
            <w:r>
              <w:t>Lambert</w:t>
            </w:r>
          </w:p>
        </w:tc>
      </w:tr>
      <w:tr w:rsidR="00BF5E9B" w:rsidTr="00345119">
        <w:tc>
          <w:tcPr>
            <w:tcW w:w="9576" w:type="dxa"/>
          </w:tcPr>
          <w:p w:rsidR="008423E4" w:rsidRPr="00861995" w:rsidRDefault="001B1CF2" w:rsidP="00345119">
            <w:pPr>
              <w:jc w:val="right"/>
            </w:pPr>
            <w:r>
              <w:t>Insurance</w:t>
            </w:r>
          </w:p>
        </w:tc>
      </w:tr>
      <w:tr w:rsidR="00BF5E9B" w:rsidTr="00345119">
        <w:tc>
          <w:tcPr>
            <w:tcW w:w="9576" w:type="dxa"/>
          </w:tcPr>
          <w:p w:rsidR="008423E4" w:rsidRDefault="001B1CF2" w:rsidP="00345119">
            <w:pPr>
              <w:jc w:val="right"/>
            </w:pPr>
            <w:r>
              <w:t>Committee Report (Substituted)</w:t>
            </w:r>
          </w:p>
        </w:tc>
      </w:tr>
    </w:tbl>
    <w:p w:rsidR="008423E4" w:rsidRPr="00F461FC" w:rsidRDefault="001B1CF2" w:rsidP="008423E4">
      <w:pPr>
        <w:tabs>
          <w:tab w:val="right" w:pos="9360"/>
        </w:tabs>
        <w:rPr>
          <w:sz w:val="22"/>
        </w:rPr>
      </w:pPr>
    </w:p>
    <w:p w:rsidR="008423E4" w:rsidRPr="00F461FC" w:rsidRDefault="001B1CF2" w:rsidP="008423E4">
      <w:pPr>
        <w:rPr>
          <w:sz w:val="22"/>
        </w:rPr>
      </w:pPr>
    </w:p>
    <w:p w:rsidR="008423E4" w:rsidRPr="00F461FC" w:rsidRDefault="001B1CF2" w:rsidP="008423E4">
      <w:pPr>
        <w:rPr>
          <w:sz w:val="22"/>
        </w:rPr>
      </w:pPr>
    </w:p>
    <w:tbl>
      <w:tblPr>
        <w:tblW w:w="0" w:type="auto"/>
        <w:tblCellMar>
          <w:left w:w="115" w:type="dxa"/>
          <w:right w:w="115" w:type="dxa"/>
        </w:tblCellMar>
        <w:tblLook w:val="01E0" w:firstRow="1" w:lastRow="1" w:firstColumn="1" w:lastColumn="1" w:noHBand="0" w:noVBand="0"/>
      </w:tblPr>
      <w:tblGrid>
        <w:gridCol w:w="9576"/>
      </w:tblGrid>
      <w:tr w:rsidR="00BF5E9B" w:rsidTr="00345119">
        <w:tc>
          <w:tcPr>
            <w:tcW w:w="9576" w:type="dxa"/>
          </w:tcPr>
          <w:p w:rsidR="008423E4" w:rsidRPr="00A8133F" w:rsidRDefault="001B1CF2" w:rsidP="000426E3">
            <w:pPr>
              <w:rPr>
                <w:b/>
              </w:rPr>
            </w:pPr>
            <w:r w:rsidRPr="009C1E9A">
              <w:rPr>
                <w:b/>
                <w:u w:val="single"/>
              </w:rPr>
              <w:t>BACKGROUND AND PURPOSE</w:t>
            </w:r>
            <w:r>
              <w:rPr>
                <w:b/>
              </w:rPr>
              <w:t xml:space="preserve"> </w:t>
            </w:r>
          </w:p>
          <w:p w:rsidR="008423E4" w:rsidRPr="00F461FC" w:rsidRDefault="001B1CF2" w:rsidP="000426E3">
            <w:pPr>
              <w:rPr>
                <w:sz w:val="22"/>
              </w:rPr>
            </w:pPr>
          </w:p>
          <w:p w:rsidR="008423E4" w:rsidRDefault="001B1CF2" w:rsidP="000426E3">
            <w:pPr>
              <w:pStyle w:val="Header"/>
              <w:jc w:val="both"/>
            </w:pPr>
            <w:r>
              <w:t xml:space="preserve">There are concerns that changes in an insurance policy can force </w:t>
            </w:r>
            <w:r>
              <w:t xml:space="preserve">patients </w:t>
            </w:r>
            <w:r>
              <w:t>who</w:t>
            </w:r>
            <w:r>
              <w:t xml:space="preserve"> find the right medication to control their condition to forgo treatments.</w:t>
            </w:r>
            <w:r>
              <w:t xml:space="preserve"> </w:t>
            </w:r>
            <w:r>
              <w:t>C.S.H.B.</w:t>
            </w:r>
            <w:r>
              <w:t xml:space="preserve"> 2099 seeks to address these concerns by </w:t>
            </w:r>
            <w:r>
              <w:t>helping to ensure that enrollees continue to have access to the medications that are right for them</w:t>
            </w:r>
            <w:r>
              <w:t>.</w:t>
            </w:r>
          </w:p>
          <w:p w:rsidR="008423E4" w:rsidRPr="00F461FC" w:rsidRDefault="001B1CF2" w:rsidP="000426E3">
            <w:pPr>
              <w:rPr>
                <w:b/>
                <w:sz w:val="22"/>
              </w:rPr>
            </w:pPr>
          </w:p>
        </w:tc>
      </w:tr>
      <w:tr w:rsidR="00BF5E9B" w:rsidTr="00345119">
        <w:tc>
          <w:tcPr>
            <w:tcW w:w="9576" w:type="dxa"/>
          </w:tcPr>
          <w:p w:rsidR="0017725B" w:rsidRDefault="001B1CF2" w:rsidP="000426E3">
            <w:pPr>
              <w:rPr>
                <w:b/>
                <w:u w:val="single"/>
              </w:rPr>
            </w:pPr>
            <w:r>
              <w:rPr>
                <w:b/>
                <w:u w:val="single"/>
              </w:rPr>
              <w:t>CRIMINAL JUSTICE IMPACT</w:t>
            </w:r>
          </w:p>
          <w:p w:rsidR="0017725B" w:rsidRPr="00F461FC" w:rsidRDefault="001B1CF2" w:rsidP="000426E3">
            <w:pPr>
              <w:rPr>
                <w:b/>
                <w:sz w:val="22"/>
                <w:u w:val="single"/>
              </w:rPr>
            </w:pPr>
          </w:p>
          <w:p w:rsidR="008E6352" w:rsidRPr="008E6352" w:rsidRDefault="001B1CF2" w:rsidP="000426E3">
            <w:pPr>
              <w:jc w:val="both"/>
            </w:pPr>
            <w:r>
              <w:t>It i</w:t>
            </w:r>
            <w:r>
              <w:t>s the committee's opinion that this bill does not expressly create a criminal offense, increase the punishment for an existing criminal offense or category of offenses, or change the eligibility of a person for community supervision, parole, or mandatory s</w:t>
            </w:r>
            <w:r>
              <w:t>upervision.</w:t>
            </w:r>
          </w:p>
          <w:p w:rsidR="0017725B" w:rsidRPr="00F461FC" w:rsidRDefault="001B1CF2" w:rsidP="000426E3">
            <w:pPr>
              <w:rPr>
                <w:b/>
                <w:sz w:val="22"/>
                <w:u w:val="single"/>
              </w:rPr>
            </w:pPr>
          </w:p>
        </w:tc>
      </w:tr>
      <w:tr w:rsidR="00BF5E9B" w:rsidTr="00345119">
        <w:tc>
          <w:tcPr>
            <w:tcW w:w="9576" w:type="dxa"/>
          </w:tcPr>
          <w:p w:rsidR="008423E4" w:rsidRPr="00A8133F" w:rsidRDefault="001B1CF2" w:rsidP="000426E3">
            <w:pPr>
              <w:rPr>
                <w:b/>
              </w:rPr>
            </w:pPr>
            <w:r w:rsidRPr="009C1E9A">
              <w:rPr>
                <w:b/>
                <w:u w:val="single"/>
              </w:rPr>
              <w:t>RULEMAKING AUTHORITY</w:t>
            </w:r>
            <w:r>
              <w:rPr>
                <w:b/>
              </w:rPr>
              <w:t xml:space="preserve"> </w:t>
            </w:r>
          </w:p>
          <w:p w:rsidR="008423E4" w:rsidRPr="00F461FC" w:rsidRDefault="001B1CF2" w:rsidP="000426E3">
            <w:pPr>
              <w:rPr>
                <w:sz w:val="22"/>
              </w:rPr>
            </w:pPr>
          </w:p>
          <w:p w:rsidR="008E6352" w:rsidRDefault="001B1CF2" w:rsidP="000426E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F461FC" w:rsidRDefault="001B1CF2" w:rsidP="000426E3">
            <w:pPr>
              <w:rPr>
                <w:b/>
                <w:sz w:val="22"/>
              </w:rPr>
            </w:pPr>
          </w:p>
        </w:tc>
      </w:tr>
      <w:tr w:rsidR="00BF5E9B" w:rsidTr="00345119">
        <w:tc>
          <w:tcPr>
            <w:tcW w:w="9576" w:type="dxa"/>
          </w:tcPr>
          <w:p w:rsidR="008423E4" w:rsidRPr="00A8133F" w:rsidRDefault="001B1CF2" w:rsidP="000426E3">
            <w:pPr>
              <w:rPr>
                <w:b/>
              </w:rPr>
            </w:pPr>
            <w:r w:rsidRPr="009C1E9A">
              <w:rPr>
                <w:b/>
                <w:u w:val="single"/>
              </w:rPr>
              <w:t>ANALYSIS</w:t>
            </w:r>
            <w:r>
              <w:rPr>
                <w:b/>
              </w:rPr>
              <w:t xml:space="preserve"> </w:t>
            </w:r>
          </w:p>
          <w:p w:rsidR="008423E4" w:rsidRPr="00F461FC" w:rsidRDefault="001B1CF2" w:rsidP="000426E3">
            <w:pPr>
              <w:rPr>
                <w:sz w:val="22"/>
              </w:rPr>
            </w:pPr>
          </w:p>
          <w:p w:rsidR="00BC66E1" w:rsidRDefault="001B1CF2" w:rsidP="000426E3">
            <w:pPr>
              <w:pStyle w:val="Header"/>
              <w:jc w:val="both"/>
            </w:pPr>
            <w:r>
              <w:t>C.S.H.B.</w:t>
            </w:r>
            <w:r>
              <w:t xml:space="preserve"> 2099 amends the Insurance Code to require the required notice provided by </w:t>
            </w:r>
            <w:r>
              <w:t xml:space="preserve">a health benefit plan </w:t>
            </w:r>
            <w:r>
              <w:t>issuer that modifies drug coverage under the plan to include a statement indicating that the health benefit plan issuer is modifying drug coverage provided und</w:t>
            </w:r>
            <w:r>
              <w:t>er the plan, explaining the type of modification, and indicating that, on renewal of the plan, the issuer may not modify an enrollee's contracted benefit level for any prescription drug that was approved or covered under the plan in the immediately precedi</w:t>
            </w:r>
            <w:r>
              <w:t>ng plan year as provided by certain bill provisions. The bill includes the increase of an out-of-pocket expense that an enrollee must pay for a drug and the reduction of the maximum drug coverage amount among the modification</w:t>
            </w:r>
            <w:r>
              <w:t>s</w:t>
            </w:r>
            <w:r>
              <w:t xml:space="preserve"> that require s</w:t>
            </w:r>
            <w:r>
              <w:t xml:space="preserve">uch notice and </w:t>
            </w:r>
            <w:r>
              <w:t>removes the condition that the movement of a drug to a higher cost</w:t>
            </w:r>
            <w:r>
              <w:noBreakHyphen/>
            </w:r>
            <w:r>
              <w:t>sharing tier only requires notice if a generic drug alternative to the drug is not available.</w:t>
            </w:r>
            <w:r>
              <w:t xml:space="preserve"> The bill authorizes modifications that are more favorable to enrollees to be made at any time a</w:t>
            </w:r>
            <w:r>
              <w:t xml:space="preserve">nd establishes that such modifications do not require notice. The bill specifies that </w:t>
            </w:r>
            <w:r>
              <w:t xml:space="preserve">such favorable modifications include </w:t>
            </w:r>
            <w:r>
              <w:t>the addition of a drug to a formulary</w:t>
            </w:r>
            <w:r>
              <w:t xml:space="preserve">; </w:t>
            </w:r>
            <w:r>
              <w:t xml:space="preserve">the reduction of a coinsurance, copayment, deductible, or other out-of-pocket expense that an </w:t>
            </w:r>
            <w:r>
              <w:t>enrollee must pay for a drug</w:t>
            </w:r>
            <w:r>
              <w:t xml:space="preserve">; </w:t>
            </w:r>
            <w:r>
              <w:t>and the removal of a utilization review requirement</w:t>
            </w:r>
            <w:r>
              <w:t>.</w:t>
            </w:r>
          </w:p>
          <w:p w:rsidR="007D4551" w:rsidRPr="00F461FC" w:rsidRDefault="001B1CF2" w:rsidP="000426E3">
            <w:pPr>
              <w:pStyle w:val="Header"/>
              <w:jc w:val="both"/>
              <w:rPr>
                <w:sz w:val="22"/>
              </w:rPr>
            </w:pPr>
          </w:p>
          <w:p w:rsidR="008B747C" w:rsidRDefault="001B1CF2" w:rsidP="000426E3">
            <w:pPr>
              <w:pStyle w:val="Header"/>
              <w:jc w:val="both"/>
            </w:pPr>
            <w:r>
              <w:t>C.S.H.B.</w:t>
            </w:r>
            <w:r w:rsidRPr="008E6352">
              <w:t xml:space="preserve"> 2099 </w:t>
            </w:r>
            <w:r>
              <w:t xml:space="preserve">prohibits a </w:t>
            </w:r>
            <w:r>
              <w:t xml:space="preserve">health benefit </w:t>
            </w:r>
            <w:r>
              <w:t xml:space="preserve">plan issuer, on renewal of a plan, from modifying </w:t>
            </w:r>
            <w:r w:rsidRPr="007D4551">
              <w:t>an enrollee's contracted benefit level for any prescription drug that was approve</w:t>
            </w:r>
            <w:r w:rsidRPr="007D4551">
              <w:t>d or covered under the plan in the immediately preceding plan year and prescribed during that year for a medical condition or me</w:t>
            </w:r>
            <w:r>
              <w:t>ntal illness of the enrollee if</w:t>
            </w:r>
            <w:r>
              <w:t>:</w:t>
            </w:r>
          </w:p>
          <w:p w:rsidR="008B747C" w:rsidRDefault="001B1CF2" w:rsidP="000426E3">
            <w:pPr>
              <w:pStyle w:val="Header"/>
              <w:numPr>
                <w:ilvl w:val="0"/>
                <w:numId w:val="1"/>
              </w:numPr>
              <w:spacing w:before="120" w:after="120"/>
              <w:jc w:val="both"/>
            </w:pPr>
            <w:r>
              <w:t>the enrollee was covered by the plan on the date immediately preceding the renewal date;</w:t>
            </w:r>
          </w:p>
          <w:p w:rsidR="008B747C" w:rsidRDefault="001B1CF2" w:rsidP="000426E3">
            <w:pPr>
              <w:pStyle w:val="Header"/>
              <w:numPr>
                <w:ilvl w:val="0"/>
                <w:numId w:val="1"/>
              </w:numPr>
              <w:spacing w:before="120" w:after="120"/>
              <w:jc w:val="both"/>
            </w:pPr>
            <w:r>
              <w:t>a phys</w:t>
            </w:r>
            <w:r>
              <w:t>ician or other prescribing provider prescribes the drug for the medical condition or mental illness</w:t>
            </w:r>
            <w:r>
              <w:t>;</w:t>
            </w:r>
            <w:r>
              <w:t xml:space="preserve"> and</w:t>
            </w:r>
          </w:p>
          <w:p w:rsidR="007E2506" w:rsidRDefault="001B1CF2" w:rsidP="000426E3">
            <w:pPr>
              <w:pStyle w:val="Header"/>
              <w:numPr>
                <w:ilvl w:val="0"/>
                <w:numId w:val="1"/>
              </w:numPr>
              <w:spacing w:before="120" w:after="120"/>
              <w:jc w:val="both"/>
            </w:pPr>
            <w:r>
              <w:t xml:space="preserve">the </w:t>
            </w:r>
            <w:r>
              <w:t xml:space="preserve">physician or other </w:t>
            </w:r>
            <w:r>
              <w:t>prescribing provider in consultation with the enrollee determines that the drug is the most appropriate course of treatment</w:t>
            </w:r>
            <w:r>
              <w:t>.</w:t>
            </w:r>
          </w:p>
          <w:p w:rsidR="00F6515D" w:rsidRDefault="001B1CF2" w:rsidP="000426E3">
            <w:pPr>
              <w:pStyle w:val="Header"/>
              <w:jc w:val="both"/>
            </w:pPr>
            <w:r>
              <w:t>The</w:t>
            </w:r>
            <w:r>
              <w:t xml:space="preserve"> bill specifies that </w:t>
            </w:r>
            <w:r>
              <w:t>such prohibited modifications include</w:t>
            </w:r>
            <w:r>
              <w:t>:</w:t>
            </w:r>
          </w:p>
          <w:p w:rsidR="00F6515D" w:rsidRDefault="001B1CF2" w:rsidP="00F461FC">
            <w:pPr>
              <w:pStyle w:val="Header"/>
              <w:numPr>
                <w:ilvl w:val="0"/>
                <w:numId w:val="5"/>
              </w:numPr>
              <w:spacing w:before="120" w:after="120"/>
              <w:jc w:val="both"/>
            </w:pPr>
            <w:r>
              <w:t>removing a drug from a formulary;</w:t>
            </w:r>
          </w:p>
          <w:p w:rsidR="00F6515D" w:rsidRDefault="001B1CF2" w:rsidP="00F461FC">
            <w:pPr>
              <w:pStyle w:val="Header"/>
              <w:numPr>
                <w:ilvl w:val="0"/>
                <w:numId w:val="5"/>
              </w:numPr>
              <w:spacing w:before="120" w:after="120"/>
              <w:jc w:val="both"/>
            </w:pPr>
            <w:r>
              <w:t>adding a requirement that an enrollee receive prior authorization for a drug;</w:t>
            </w:r>
          </w:p>
          <w:p w:rsidR="00F6515D" w:rsidRDefault="001B1CF2" w:rsidP="00F461FC">
            <w:pPr>
              <w:pStyle w:val="Header"/>
              <w:numPr>
                <w:ilvl w:val="0"/>
                <w:numId w:val="5"/>
              </w:numPr>
              <w:spacing w:before="120" w:after="120"/>
              <w:jc w:val="both"/>
            </w:pPr>
            <w:r>
              <w:t>imposing or altering a quantity limit for a drug;</w:t>
            </w:r>
          </w:p>
          <w:p w:rsidR="00F6515D" w:rsidRDefault="001B1CF2" w:rsidP="00F461FC">
            <w:pPr>
              <w:pStyle w:val="Header"/>
              <w:numPr>
                <w:ilvl w:val="0"/>
                <w:numId w:val="5"/>
              </w:numPr>
              <w:spacing w:before="120" w:after="120"/>
              <w:jc w:val="both"/>
            </w:pPr>
            <w:r>
              <w:t xml:space="preserve">imposing a step-therapy </w:t>
            </w:r>
            <w:r>
              <w:t>restriction for a drug;</w:t>
            </w:r>
          </w:p>
          <w:p w:rsidR="00F6515D" w:rsidRDefault="001B1CF2" w:rsidP="00F461FC">
            <w:pPr>
              <w:pStyle w:val="Header"/>
              <w:numPr>
                <w:ilvl w:val="0"/>
                <w:numId w:val="5"/>
              </w:numPr>
              <w:spacing w:before="120" w:after="120"/>
              <w:jc w:val="both"/>
            </w:pPr>
            <w:r>
              <w:t>moving a drug to a higher cost-sharing tier;</w:t>
            </w:r>
          </w:p>
          <w:p w:rsidR="00F6515D" w:rsidRDefault="001B1CF2" w:rsidP="00F461FC">
            <w:pPr>
              <w:pStyle w:val="Header"/>
              <w:numPr>
                <w:ilvl w:val="0"/>
                <w:numId w:val="5"/>
              </w:numPr>
              <w:spacing w:before="120" w:after="120"/>
              <w:jc w:val="both"/>
            </w:pPr>
            <w:r>
              <w:t>increasing a coinsurance, copayment, deductible, or other out-of-pocket expense that an enrollee must pay for a drug; and</w:t>
            </w:r>
          </w:p>
          <w:p w:rsidR="00F446AD" w:rsidRDefault="001B1CF2" w:rsidP="00F461FC">
            <w:pPr>
              <w:pStyle w:val="Header"/>
              <w:numPr>
                <w:ilvl w:val="0"/>
                <w:numId w:val="5"/>
              </w:numPr>
              <w:jc w:val="both"/>
            </w:pPr>
            <w:r>
              <w:t>reducing the maximum drug coverage amount.</w:t>
            </w:r>
          </w:p>
          <w:p w:rsidR="0033691C" w:rsidRDefault="001B1CF2" w:rsidP="00F461FC">
            <w:pPr>
              <w:pStyle w:val="Header"/>
              <w:jc w:val="both"/>
            </w:pPr>
          </w:p>
          <w:p w:rsidR="00F446AD" w:rsidRDefault="001B1CF2" w:rsidP="00F461FC">
            <w:pPr>
              <w:pStyle w:val="Header"/>
              <w:jc w:val="both"/>
            </w:pPr>
            <w:r>
              <w:t>C.S.H.B. 2099 establi</w:t>
            </w:r>
            <w:r>
              <w:t>shes that the bill's provisions</w:t>
            </w:r>
            <w:r>
              <w:t xml:space="preserve"> regarding </w:t>
            </w:r>
            <w:r>
              <w:t xml:space="preserve">prohibited </w:t>
            </w:r>
            <w:r>
              <w:t>modifications</w:t>
            </w:r>
            <w:r>
              <w:t xml:space="preserve"> do not:</w:t>
            </w:r>
          </w:p>
          <w:p w:rsidR="00F446AD" w:rsidRDefault="001B1CF2" w:rsidP="00F461FC">
            <w:pPr>
              <w:pStyle w:val="Header"/>
              <w:numPr>
                <w:ilvl w:val="0"/>
                <w:numId w:val="6"/>
              </w:numPr>
              <w:spacing w:before="120" w:after="120"/>
              <w:jc w:val="both"/>
            </w:pPr>
            <w:r>
              <w:t>prohibit a health ben</w:t>
            </w:r>
            <w:r>
              <w:t>efit plan issuer from requiring,</w:t>
            </w:r>
            <w:r>
              <w:t xml:space="preserve"> by contract, written policy or procedure, or other agreement or course of conduct, a pharmacist to provide a substitution for a</w:t>
            </w:r>
            <w:r>
              <w:t xml:space="preserve"> prescription drug in accordance with </w:t>
            </w:r>
            <w:r>
              <w:t>certain</w:t>
            </w:r>
            <w:r>
              <w:t xml:space="preserve"> statutory provisions</w:t>
            </w:r>
            <w:r>
              <w:t xml:space="preserve"> u</w:t>
            </w:r>
            <w:r w:rsidRPr="0033691C">
              <w:t xml:space="preserve">nder which the pharmacist may substitute an interchangeable biologic product or therapeutically equivalent generic product as determined by the </w:t>
            </w:r>
            <w:r>
              <w:t>U.S.</w:t>
            </w:r>
            <w:r w:rsidRPr="0033691C">
              <w:t xml:space="preserve"> Food and Drug Administration</w:t>
            </w:r>
            <w:r>
              <w:t xml:space="preserve"> (FDA)</w:t>
            </w:r>
            <w:r>
              <w:t>;</w:t>
            </w:r>
          </w:p>
          <w:p w:rsidR="00F446AD" w:rsidRDefault="001B1CF2" w:rsidP="00F461FC">
            <w:pPr>
              <w:pStyle w:val="Header"/>
              <w:numPr>
                <w:ilvl w:val="0"/>
                <w:numId w:val="6"/>
              </w:numPr>
              <w:spacing w:before="120" w:after="120"/>
              <w:jc w:val="both"/>
            </w:pPr>
            <w:r>
              <w:t>prohibit a physician or other prescribing provider from prescribing another medication;</w:t>
            </w:r>
          </w:p>
          <w:p w:rsidR="00F446AD" w:rsidRDefault="001B1CF2" w:rsidP="00F461FC">
            <w:pPr>
              <w:pStyle w:val="Header"/>
              <w:numPr>
                <w:ilvl w:val="0"/>
                <w:numId w:val="6"/>
              </w:numPr>
              <w:spacing w:before="120" w:after="120"/>
              <w:jc w:val="both"/>
            </w:pPr>
            <w:r>
              <w:t>prohibit the health benefit plan issuer from adding a new drug to a formulary;</w:t>
            </w:r>
          </w:p>
          <w:p w:rsidR="00F446AD" w:rsidRDefault="001B1CF2" w:rsidP="00F461FC">
            <w:pPr>
              <w:pStyle w:val="Header"/>
              <w:numPr>
                <w:ilvl w:val="0"/>
                <w:numId w:val="6"/>
              </w:numPr>
              <w:spacing w:before="120" w:after="120"/>
              <w:jc w:val="both"/>
            </w:pPr>
            <w:r>
              <w:t xml:space="preserve">require a health benefit plan to provide coverage to an enrollee under circumstances not </w:t>
            </w:r>
            <w:r>
              <w:t xml:space="preserve">described by </w:t>
            </w:r>
            <w:r w:rsidRPr="00C03923">
              <w:t>the bill's provisions</w:t>
            </w:r>
            <w:r>
              <w:t>; or</w:t>
            </w:r>
          </w:p>
          <w:p w:rsidR="00F446AD" w:rsidRDefault="001B1CF2" w:rsidP="00F461FC">
            <w:pPr>
              <w:pStyle w:val="Header"/>
              <w:numPr>
                <w:ilvl w:val="0"/>
                <w:numId w:val="6"/>
              </w:numPr>
              <w:spacing w:before="120" w:after="120"/>
              <w:jc w:val="both"/>
            </w:pPr>
            <w:r>
              <w:t xml:space="preserve">prohibit a health benefit plan issuer from removing a drug from its formulary or denying an enrollee coverage for the drug </w:t>
            </w:r>
            <w:r>
              <w:t>under the following conditions</w:t>
            </w:r>
            <w:r>
              <w:t>:</w:t>
            </w:r>
          </w:p>
          <w:p w:rsidR="00F446AD" w:rsidRDefault="001B1CF2" w:rsidP="00F461FC">
            <w:pPr>
              <w:pStyle w:val="Header"/>
              <w:numPr>
                <w:ilvl w:val="1"/>
                <w:numId w:val="6"/>
              </w:numPr>
              <w:spacing w:before="120" w:after="120"/>
              <w:jc w:val="both"/>
            </w:pPr>
            <w:r>
              <w:t xml:space="preserve">the </w:t>
            </w:r>
            <w:r w:rsidRPr="00900657">
              <w:t>FDA</w:t>
            </w:r>
            <w:r>
              <w:t xml:space="preserve"> has issued a statement about the drug that calls into </w:t>
            </w:r>
            <w:r>
              <w:t>question the clinical safety of the drug;</w:t>
            </w:r>
          </w:p>
          <w:p w:rsidR="00205205" w:rsidRDefault="001B1CF2" w:rsidP="00F461FC">
            <w:pPr>
              <w:pStyle w:val="Header"/>
              <w:numPr>
                <w:ilvl w:val="1"/>
                <w:numId w:val="6"/>
              </w:numPr>
              <w:spacing w:before="120" w:after="120"/>
              <w:jc w:val="both"/>
            </w:pPr>
            <w:r>
              <w:t>the drug manufacturer has notified the FDA of a manufacturing discontinuance or potential discontinuance of the drug; or</w:t>
            </w:r>
          </w:p>
          <w:p w:rsidR="008423E4" w:rsidRDefault="001B1CF2" w:rsidP="00F461FC">
            <w:pPr>
              <w:pStyle w:val="Header"/>
              <w:numPr>
                <w:ilvl w:val="1"/>
                <w:numId w:val="6"/>
              </w:numPr>
              <w:jc w:val="both"/>
            </w:pPr>
            <w:r>
              <w:t>the drug manufacturer has removed the drug from the market</w:t>
            </w:r>
            <w:r>
              <w:t xml:space="preserve">. </w:t>
            </w:r>
          </w:p>
          <w:p w:rsidR="008E6352" w:rsidRDefault="001B1CF2" w:rsidP="000426E3">
            <w:pPr>
              <w:pStyle w:val="Header"/>
              <w:jc w:val="both"/>
            </w:pPr>
          </w:p>
          <w:p w:rsidR="008E6352" w:rsidRDefault="001B1CF2" w:rsidP="000426E3">
            <w:pPr>
              <w:pStyle w:val="Header"/>
              <w:jc w:val="both"/>
            </w:pPr>
            <w:r>
              <w:t>C.S.H.B.</w:t>
            </w:r>
            <w:r w:rsidRPr="008E6352">
              <w:t xml:space="preserve"> 2099</w:t>
            </w:r>
            <w:r>
              <w:t xml:space="preserve"> applies only to </w:t>
            </w:r>
            <w:r w:rsidRPr="008E6352">
              <w:t>a health benefit plan that is delivered, issued for delivery, or renewed on or after January 1, 2020.</w:t>
            </w:r>
          </w:p>
          <w:p w:rsidR="008E6352" w:rsidRPr="00835628" w:rsidRDefault="001B1CF2" w:rsidP="000426E3">
            <w:pPr>
              <w:pStyle w:val="Header"/>
              <w:jc w:val="both"/>
              <w:rPr>
                <w:b/>
              </w:rPr>
            </w:pPr>
          </w:p>
        </w:tc>
      </w:tr>
      <w:tr w:rsidR="00BF5E9B" w:rsidTr="00345119">
        <w:tc>
          <w:tcPr>
            <w:tcW w:w="9576" w:type="dxa"/>
          </w:tcPr>
          <w:p w:rsidR="008423E4" w:rsidRPr="00A8133F" w:rsidRDefault="001B1CF2" w:rsidP="000426E3">
            <w:pPr>
              <w:rPr>
                <w:b/>
              </w:rPr>
            </w:pPr>
            <w:r w:rsidRPr="009C1E9A">
              <w:rPr>
                <w:b/>
                <w:u w:val="single"/>
              </w:rPr>
              <w:t>EFFECTIVE DATE</w:t>
            </w:r>
            <w:r>
              <w:rPr>
                <w:b/>
              </w:rPr>
              <w:t xml:space="preserve"> </w:t>
            </w:r>
          </w:p>
          <w:p w:rsidR="008423E4" w:rsidRDefault="001B1CF2" w:rsidP="000426E3"/>
          <w:p w:rsidR="006A544E" w:rsidRDefault="001B1CF2" w:rsidP="000426E3">
            <w:pPr>
              <w:pStyle w:val="Header"/>
              <w:tabs>
                <w:tab w:val="clear" w:pos="4320"/>
                <w:tab w:val="clear" w:pos="8640"/>
              </w:tabs>
              <w:jc w:val="both"/>
            </w:pPr>
            <w:r>
              <w:t>September 1, 2019</w:t>
            </w:r>
          </w:p>
          <w:p w:rsidR="008423E4" w:rsidRPr="00233FDB" w:rsidRDefault="001B1CF2" w:rsidP="000426E3">
            <w:pPr>
              <w:pStyle w:val="Header"/>
              <w:tabs>
                <w:tab w:val="clear" w:pos="4320"/>
                <w:tab w:val="clear" w:pos="8640"/>
              </w:tabs>
              <w:jc w:val="both"/>
            </w:pPr>
          </w:p>
        </w:tc>
      </w:tr>
      <w:tr w:rsidR="00BF5E9B" w:rsidTr="00345119">
        <w:tc>
          <w:tcPr>
            <w:tcW w:w="9576" w:type="dxa"/>
          </w:tcPr>
          <w:p w:rsidR="00896770" w:rsidRDefault="001B1CF2" w:rsidP="000426E3">
            <w:pPr>
              <w:jc w:val="both"/>
              <w:rPr>
                <w:b/>
                <w:u w:val="single"/>
              </w:rPr>
            </w:pPr>
            <w:r>
              <w:rPr>
                <w:b/>
                <w:u w:val="single"/>
              </w:rPr>
              <w:t>COMPARISON OF ORIGINAL AND SUBSTITUTE</w:t>
            </w:r>
          </w:p>
          <w:p w:rsidR="00153C4B" w:rsidRDefault="001B1CF2" w:rsidP="000426E3">
            <w:pPr>
              <w:jc w:val="both"/>
            </w:pPr>
          </w:p>
          <w:p w:rsidR="00153C4B" w:rsidRDefault="001B1CF2" w:rsidP="000426E3">
            <w:pPr>
              <w:jc w:val="both"/>
            </w:pPr>
            <w:r>
              <w:t xml:space="preserve">While C.S.H.B. 2099 may differ from the original in minor or nonsubstantive </w:t>
            </w:r>
            <w:r>
              <w:t>ways, the following summarizes the substantial differences between the introduced and committee substitute versions of the bill.</w:t>
            </w:r>
          </w:p>
          <w:p w:rsidR="00153C4B" w:rsidRDefault="001B1CF2" w:rsidP="000426E3">
            <w:pPr>
              <w:jc w:val="both"/>
            </w:pPr>
          </w:p>
          <w:p w:rsidR="00CB41F8" w:rsidRDefault="001B1CF2" w:rsidP="000426E3">
            <w:pPr>
              <w:jc w:val="both"/>
            </w:pPr>
            <w:r>
              <w:t xml:space="preserve">The substitute revises provisions relating to the prohibition against </w:t>
            </w:r>
            <w:r w:rsidRPr="00CB41F8">
              <w:t>a health benefit plan issuer</w:t>
            </w:r>
            <w:r>
              <w:t xml:space="preserve"> </w:t>
            </w:r>
            <w:r w:rsidRPr="00CB41F8">
              <w:t xml:space="preserve">modifying an enrollee's contracted benefit level for </w:t>
            </w:r>
            <w:r>
              <w:t>applicable covered</w:t>
            </w:r>
            <w:r w:rsidRPr="00CB41F8">
              <w:t xml:space="preserve"> prescription drug</w:t>
            </w:r>
            <w:r>
              <w:t xml:space="preserve">s </w:t>
            </w:r>
            <w:r>
              <w:t xml:space="preserve">under certain conditions </w:t>
            </w:r>
            <w:r>
              <w:t>by:</w:t>
            </w:r>
          </w:p>
          <w:p w:rsidR="0047123B" w:rsidRDefault="001B1CF2" w:rsidP="000426E3">
            <w:pPr>
              <w:pStyle w:val="ListParagraph"/>
              <w:numPr>
                <w:ilvl w:val="0"/>
                <w:numId w:val="4"/>
              </w:numPr>
              <w:spacing w:before="120" w:after="120"/>
              <w:contextualSpacing w:val="0"/>
              <w:jc w:val="both"/>
            </w:pPr>
            <w:r>
              <w:t>removing the condition that the drug is considered safe and effective for treating the enrollee's medical condition or mental illness;</w:t>
            </w:r>
          </w:p>
          <w:p w:rsidR="0047123B" w:rsidRDefault="001B1CF2" w:rsidP="00F461FC">
            <w:pPr>
              <w:pStyle w:val="ListParagraph"/>
              <w:spacing w:before="120" w:after="120"/>
              <w:contextualSpacing w:val="0"/>
              <w:jc w:val="both"/>
            </w:pPr>
          </w:p>
          <w:p w:rsidR="00CB41F8" w:rsidRDefault="001B1CF2" w:rsidP="000426E3">
            <w:pPr>
              <w:pStyle w:val="ListParagraph"/>
              <w:numPr>
                <w:ilvl w:val="0"/>
                <w:numId w:val="4"/>
              </w:numPr>
              <w:spacing w:before="120" w:after="120"/>
              <w:contextualSpacing w:val="0"/>
              <w:jc w:val="both"/>
            </w:pPr>
            <w:r>
              <w:t xml:space="preserve">including </w:t>
            </w:r>
            <w:r>
              <w:t>among the</w:t>
            </w:r>
            <w:r>
              <w:t xml:space="preserve"> prohibited modifications the increase</w:t>
            </w:r>
            <w:r>
              <w:t xml:space="preserve"> of an out</w:t>
            </w:r>
            <w:r>
              <w:t>-</w:t>
            </w:r>
            <w:r>
              <w:t>of</w:t>
            </w:r>
            <w:r>
              <w:t>-</w:t>
            </w:r>
            <w:r>
              <w:t xml:space="preserve">pocket expense that an enrollee must pay for a drug and </w:t>
            </w:r>
            <w:r>
              <w:t>the reduction of</w:t>
            </w:r>
            <w:r>
              <w:t xml:space="preserve"> the maximum drug coverage amount;</w:t>
            </w:r>
            <w:r>
              <w:t xml:space="preserve"> and</w:t>
            </w:r>
          </w:p>
          <w:p w:rsidR="00DD631D" w:rsidRDefault="001B1CF2" w:rsidP="000426E3">
            <w:pPr>
              <w:pStyle w:val="ListParagraph"/>
              <w:numPr>
                <w:ilvl w:val="0"/>
                <w:numId w:val="4"/>
              </w:numPr>
              <w:spacing w:before="120" w:after="120"/>
              <w:contextualSpacing w:val="0"/>
              <w:jc w:val="both"/>
            </w:pPr>
            <w:r>
              <w:t xml:space="preserve">including provisions establishing certain </w:t>
            </w:r>
            <w:r>
              <w:t>exceptions to and clarifications</w:t>
            </w:r>
            <w:r>
              <w:t xml:space="preserve"> of</w:t>
            </w:r>
            <w:r>
              <w:t xml:space="preserve"> the </w:t>
            </w:r>
            <w:r>
              <w:t>prohibited modifications</w:t>
            </w:r>
            <w:r>
              <w:t>.</w:t>
            </w:r>
          </w:p>
          <w:p w:rsidR="00153C4B" w:rsidRPr="00153C4B" w:rsidRDefault="001B1CF2" w:rsidP="000426E3">
            <w:pPr>
              <w:jc w:val="both"/>
            </w:pPr>
          </w:p>
        </w:tc>
      </w:tr>
      <w:tr w:rsidR="00BF5E9B" w:rsidTr="00345119">
        <w:tc>
          <w:tcPr>
            <w:tcW w:w="9576" w:type="dxa"/>
          </w:tcPr>
          <w:p w:rsidR="00896770" w:rsidRPr="009C1E9A" w:rsidRDefault="001B1CF2" w:rsidP="000426E3">
            <w:pPr>
              <w:rPr>
                <w:b/>
                <w:u w:val="single"/>
              </w:rPr>
            </w:pPr>
          </w:p>
        </w:tc>
      </w:tr>
      <w:tr w:rsidR="00BF5E9B" w:rsidTr="00345119">
        <w:tc>
          <w:tcPr>
            <w:tcW w:w="9576" w:type="dxa"/>
          </w:tcPr>
          <w:p w:rsidR="00896770" w:rsidRPr="00896770" w:rsidRDefault="001B1CF2" w:rsidP="000426E3">
            <w:pPr>
              <w:jc w:val="both"/>
            </w:pPr>
          </w:p>
        </w:tc>
      </w:tr>
    </w:tbl>
    <w:p w:rsidR="004108C3" w:rsidRPr="008423E4" w:rsidRDefault="001B1CF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B1CF2">
      <w:r>
        <w:separator/>
      </w:r>
    </w:p>
  </w:endnote>
  <w:endnote w:type="continuationSeparator" w:id="0">
    <w:p w:rsidR="00000000" w:rsidRDefault="001B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1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F5E9B" w:rsidTr="009C1E9A">
      <w:trPr>
        <w:cantSplit/>
      </w:trPr>
      <w:tc>
        <w:tcPr>
          <w:tcW w:w="0" w:type="pct"/>
        </w:tcPr>
        <w:p w:rsidR="00137D90" w:rsidRDefault="001B1CF2" w:rsidP="009C1E9A">
          <w:pPr>
            <w:pStyle w:val="Footer"/>
            <w:tabs>
              <w:tab w:val="clear" w:pos="8640"/>
              <w:tab w:val="right" w:pos="9360"/>
            </w:tabs>
          </w:pPr>
        </w:p>
      </w:tc>
      <w:tc>
        <w:tcPr>
          <w:tcW w:w="2395" w:type="pct"/>
        </w:tcPr>
        <w:p w:rsidR="00137D90" w:rsidRDefault="001B1CF2" w:rsidP="009C1E9A">
          <w:pPr>
            <w:pStyle w:val="Footer"/>
            <w:tabs>
              <w:tab w:val="clear" w:pos="8640"/>
              <w:tab w:val="right" w:pos="9360"/>
            </w:tabs>
          </w:pPr>
        </w:p>
        <w:p w:rsidR="001A4310" w:rsidRDefault="001B1CF2" w:rsidP="009C1E9A">
          <w:pPr>
            <w:pStyle w:val="Footer"/>
            <w:tabs>
              <w:tab w:val="clear" w:pos="8640"/>
              <w:tab w:val="right" w:pos="9360"/>
            </w:tabs>
          </w:pPr>
        </w:p>
        <w:p w:rsidR="00137D90" w:rsidRDefault="001B1CF2" w:rsidP="009C1E9A">
          <w:pPr>
            <w:pStyle w:val="Footer"/>
            <w:tabs>
              <w:tab w:val="clear" w:pos="8640"/>
              <w:tab w:val="right" w:pos="9360"/>
            </w:tabs>
          </w:pPr>
        </w:p>
      </w:tc>
      <w:tc>
        <w:tcPr>
          <w:tcW w:w="2453" w:type="pct"/>
        </w:tcPr>
        <w:p w:rsidR="00137D90" w:rsidRDefault="001B1CF2" w:rsidP="009C1E9A">
          <w:pPr>
            <w:pStyle w:val="Footer"/>
            <w:tabs>
              <w:tab w:val="clear" w:pos="8640"/>
              <w:tab w:val="right" w:pos="9360"/>
            </w:tabs>
            <w:jc w:val="right"/>
          </w:pPr>
        </w:p>
      </w:tc>
    </w:tr>
    <w:tr w:rsidR="00BF5E9B" w:rsidTr="009C1E9A">
      <w:trPr>
        <w:cantSplit/>
      </w:trPr>
      <w:tc>
        <w:tcPr>
          <w:tcW w:w="0" w:type="pct"/>
        </w:tcPr>
        <w:p w:rsidR="00EC379B" w:rsidRDefault="001B1CF2" w:rsidP="009C1E9A">
          <w:pPr>
            <w:pStyle w:val="Footer"/>
            <w:tabs>
              <w:tab w:val="clear" w:pos="8640"/>
              <w:tab w:val="right" w:pos="9360"/>
            </w:tabs>
          </w:pPr>
        </w:p>
      </w:tc>
      <w:tc>
        <w:tcPr>
          <w:tcW w:w="2395" w:type="pct"/>
        </w:tcPr>
        <w:p w:rsidR="00EC379B" w:rsidRPr="009C1E9A" w:rsidRDefault="001B1CF2" w:rsidP="009C1E9A">
          <w:pPr>
            <w:pStyle w:val="Footer"/>
            <w:tabs>
              <w:tab w:val="clear" w:pos="8640"/>
              <w:tab w:val="right" w:pos="9360"/>
            </w:tabs>
            <w:rPr>
              <w:rFonts w:ascii="Shruti" w:hAnsi="Shruti"/>
              <w:sz w:val="22"/>
            </w:rPr>
          </w:pPr>
          <w:r>
            <w:rPr>
              <w:rFonts w:ascii="Shruti" w:hAnsi="Shruti"/>
              <w:sz w:val="22"/>
            </w:rPr>
            <w:t>86R 26444</w:t>
          </w:r>
        </w:p>
      </w:tc>
      <w:tc>
        <w:tcPr>
          <w:tcW w:w="2453" w:type="pct"/>
        </w:tcPr>
        <w:p w:rsidR="00EC379B" w:rsidRDefault="001B1CF2" w:rsidP="009C1E9A">
          <w:pPr>
            <w:pStyle w:val="Footer"/>
            <w:tabs>
              <w:tab w:val="clear" w:pos="8640"/>
              <w:tab w:val="right" w:pos="9360"/>
            </w:tabs>
            <w:jc w:val="right"/>
          </w:pPr>
          <w:r>
            <w:fldChar w:fldCharType="begin"/>
          </w:r>
          <w:r>
            <w:instrText xml:space="preserve"> DOCPROPERTY  OTID  \* MERGEFORMAT </w:instrText>
          </w:r>
          <w:r>
            <w:fldChar w:fldCharType="separate"/>
          </w:r>
          <w:r>
            <w:t>19.101.535</w:t>
          </w:r>
          <w:r>
            <w:fldChar w:fldCharType="end"/>
          </w:r>
        </w:p>
      </w:tc>
    </w:tr>
    <w:tr w:rsidR="00BF5E9B" w:rsidTr="009C1E9A">
      <w:trPr>
        <w:cantSplit/>
      </w:trPr>
      <w:tc>
        <w:tcPr>
          <w:tcW w:w="0" w:type="pct"/>
        </w:tcPr>
        <w:p w:rsidR="00EC379B" w:rsidRDefault="001B1CF2" w:rsidP="009C1E9A">
          <w:pPr>
            <w:pStyle w:val="Footer"/>
            <w:tabs>
              <w:tab w:val="clear" w:pos="4320"/>
              <w:tab w:val="clear" w:pos="8640"/>
              <w:tab w:val="left" w:pos="2865"/>
            </w:tabs>
          </w:pPr>
        </w:p>
      </w:tc>
      <w:tc>
        <w:tcPr>
          <w:tcW w:w="2395" w:type="pct"/>
        </w:tcPr>
        <w:p w:rsidR="00EC379B" w:rsidRPr="009C1E9A" w:rsidRDefault="001B1CF2" w:rsidP="009C1E9A">
          <w:pPr>
            <w:pStyle w:val="Footer"/>
            <w:tabs>
              <w:tab w:val="clear" w:pos="4320"/>
              <w:tab w:val="clear" w:pos="8640"/>
              <w:tab w:val="left" w:pos="2865"/>
            </w:tabs>
            <w:rPr>
              <w:rFonts w:ascii="Shruti" w:hAnsi="Shruti"/>
              <w:sz w:val="22"/>
            </w:rPr>
          </w:pPr>
          <w:r>
            <w:rPr>
              <w:rFonts w:ascii="Shruti" w:hAnsi="Shruti"/>
              <w:sz w:val="22"/>
            </w:rPr>
            <w:t>Substitute Document Number: 86R 13008</w:t>
          </w:r>
        </w:p>
      </w:tc>
      <w:tc>
        <w:tcPr>
          <w:tcW w:w="2453" w:type="pct"/>
        </w:tcPr>
        <w:p w:rsidR="00EC379B" w:rsidRDefault="001B1CF2" w:rsidP="006D504F">
          <w:pPr>
            <w:pStyle w:val="Footer"/>
            <w:rPr>
              <w:rStyle w:val="PageNumber"/>
            </w:rPr>
          </w:pPr>
        </w:p>
        <w:p w:rsidR="00EC379B" w:rsidRDefault="001B1CF2" w:rsidP="009C1E9A">
          <w:pPr>
            <w:pStyle w:val="Footer"/>
            <w:tabs>
              <w:tab w:val="clear" w:pos="8640"/>
              <w:tab w:val="right" w:pos="9360"/>
            </w:tabs>
            <w:jc w:val="right"/>
          </w:pPr>
        </w:p>
      </w:tc>
    </w:tr>
    <w:tr w:rsidR="00BF5E9B" w:rsidTr="009C1E9A">
      <w:trPr>
        <w:cantSplit/>
        <w:trHeight w:val="323"/>
      </w:trPr>
      <w:tc>
        <w:tcPr>
          <w:tcW w:w="0" w:type="pct"/>
          <w:gridSpan w:val="3"/>
        </w:tcPr>
        <w:p w:rsidR="00EC379B" w:rsidRDefault="001B1CF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1B1CF2" w:rsidP="009C1E9A">
          <w:pPr>
            <w:pStyle w:val="Footer"/>
            <w:tabs>
              <w:tab w:val="clear" w:pos="8640"/>
              <w:tab w:val="right" w:pos="9360"/>
            </w:tabs>
            <w:jc w:val="center"/>
          </w:pPr>
        </w:p>
      </w:tc>
    </w:tr>
  </w:tbl>
  <w:p w:rsidR="00EC379B" w:rsidRPr="00FF6F72" w:rsidRDefault="001B1CF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1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B1CF2">
      <w:r>
        <w:separator/>
      </w:r>
    </w:p>
  </w:footnote>
  <w:footnote w:type="continuationSeparator" w:id="0">
    <w:p w:rsidR="00000000" w:rsidRDefault="001B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1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1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1B1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6B7"/>
    <w:multiLevelType w:val="hybridMultilevel"/>
    <w:tmpl w:val="0AA84DEA"/>
    <w:lvl w:ilvl="0" w:tplc="3F46B86E">
      <w:start w:val="1"/>
      <w:numFmt w:val="bullet"/>
      <w:lvlText w:val=""/>
      <w:lvlJc w:val="left"/>
      <w:pPr>
        <w:tabs>
          <w:tab w:val="num" w:pos="720"/>
        </w:tabs>
        <w:ind w:left="720" w:hanging="360"/>
      </w:pPr>
      <w:rPr>
        <w:rFonts w:ascii="Symbol" w:hAnsi="Symbol" w:hint="default"/>
      </w:rPr>
    </w:lvl>
    <w:lvl w:ilvl="1" w:tplc="C32860C4" w:tentative="1">
      <w:start w:val="1"/>
      <w:numFmt w:val="bullet"/>
      <w:lvlText w:val="o"/>
      <w:lvlJc w:val="left"/>
      <w:pPr>
        <w:ind w:left="1440" w:hanging="360"/>
      </w:pPr>
      <w:rPr>
        <w:rFonts w:ascii="Courier New" w:hAnsi="Courier New" w:cs="Courier New" w:hint="default"/>
      </w:rPr>
    </w:lvl>
    <w:lvl w:ilvl="2" w:tplc="CB866042" w:tentative="1">
      <w:start w:val="1"/>
      <w:numFmt w:val="bullet"/>
      <w:lvlText w:val=""/>
      <w:lvlJc w:val="left"/>
      <w:pPr>
        <w:ind w:left="2160" w:hanging="360"/>
      </w:pPr>
      <w:rPr>
        <w:rFonts w:ascii="Wingdings" w:hAnsi="Wingdings" w:hint="default"/>
      </w:rPr>
    </w:lvl>
    <w:lvl w:ilvl="3" w:tplc="605AC446" w:tentative="1">
      <w:start w:val="1"/>
      <w:numFmt w:val="bullet"/>
      <w:lvlText w:val=""/>
      <w:lvlJc w:val="left"/>
      <w:pPr>
        <w:ind w:left="2880" w:hanging="360"/>
      </w:pPr>
      <w:rPr>
        <w:rFonts w:ascii="Symbol" w:hAnsi="Symbol" w:hint="default"/>
      </w:rPr>
    </w:lvl>
    <w:lvl w:ilvl="4" w:tplc="33E064E2" w:tentative="1">
      <w:start w:val="1"/>
      <w:numFmt w:val="bullet"/>
      <w:lvlText w:val="o"/>
      <w:lvlJc w:val="left"/>
      <w:pPr>
        <w:ind w:left="3600" w:hanging="360"/>
      </w:pPr>
      <w:rPr>
        <w:rFonts w:ascii="Courier New" w:hAnsi="Courier New" w:cs="Courier New" w:hint="default"/>
      </w:rPr>
    </w:lvl>
    <w:lvl w:ilvl="5" w:tplc="AFBE79A8" w:tentative="1">
      <w:start w:val="1"/>
      <w:numFmt w:val="bullet"/>
      <w:lvlText w:val=""/>
      <w:lvlJc w:val="left"/>
      <w:pPr>
        <w:ind w:left="4320" w:hanging="360"/>
      </w:pPr>
      <w:rPr>
        <w:rFonts w:ascii="Wingdings" w:hAnsi="Wingdings" w:hint="default"/>
      </w:rPr>
    </w:lvl>
    <w:lvl w:ilvl="6" w:tplc="C568C8A8" w:tentative="1">
      <w:start w:val="1"/>
      <w:numFmt w:val="bullet"/>
      <w:lvlText w:val=""/>
      <w:lvlJc w:val="left"/>
      <w:pPr>
        <w:ind w:left="5040" w:hanging="360"/>
      </w:pPr>
      <w:rPr>
        <w:rFonts w:ascii="Symbol" w:hAnsi="Symbol" w:hint="default"/>
      </w:rPr>
    </w:lvl>
    <w:lvl w:ilvl="7" w:tplc="79BE0F16" w:tentative="1">
      <w:start w:val="1"/>
      <w:numFmt w:val="bullet"/>
      <w:lvlText w:val="o"/>
      <w:lvlJc w:val="left"/>
      <w:pPr>
        <w:ind w:left="5760" w:hanging="360"/>
      </w:pPr>
      <w:rPr>
        <w:rFonts w:ascii="Courier New" w:hAnsi="Courier New" w:cs="Courier New" w:hint="default"/>
      </w:rPr>
    </w:lvl>
    <w:lvl w:ilvl="8" w:tplc="FA1455E8" w:tentative="1">
      <w:start w:val="1"/>
      <w:numFmt w:val="bullet"/>
      <w:lvlText w:val=""/>
      <w:lvlJc w:val="left"/>
      <w:pPr>
        <w:ind w:left="6480" w:hanging="360"/>
      </w:pPr>
      <w:rPr>
        <w:rFonts w:ascii="Wingdings" w:hAnsi="Wingdings" w:hint="default"/>
      </w:rPr>
    </w:lvl>
  </w:abstractNum>
  <w:abstractNum w:abstractNumId="1" w15:restartNumberingAfterBreak="0">
    <w:nsid w:val="47024854"/>
    <w:multiLevelType w:val="hybridMultilevel"/>
    <w:tmpl w:val="1F182478"/>
    <w:lvl w:ilvl="0" w:tplc="2BA6D8D4">
      <w:start w:val="1"/>
      <w:numFmt w:val="bullet"/>
      <w:lvlText w:val=""/>
      <w:lvlJc w:val="left"/>
      <w:pPr>
        <w:tabs>
          <w:tab w:val="num" w:pos="720"/>
        </w:tabs>
        <w:ind w:left="720" w:hanging="360"/>
      </w:pPr>
      <w:rPr>
        <w:rFonts w:ascii="Symbol" w:hAnsi="Symbol" w:hint="default"/>
      </w:rPr>
    </w:lvl>
    <w:lvl w:ilvl="1" w:tplc="D6CA82F8" w:tentative="1">
      <w:start w:val="1"/>
      <w:numFmt w:val="bullet"/>
      <w:lvlText w:val="o"/>
      <w:lvlJc w:val="left"/>
      <w:pPr>
        <w:ind w:left="1440" w:hanging="360"/>
      </w:pPr>
      <w:rPr>
        <w:rFonts w:ascii="Courier New" w:hAnsi="Courier New" w:cs="Courier New" w:hint="default"/>
      </w:rPr>
    </w:lvl>
    <w:lvl w:ilvl="2" w:tplc="C730F6BC" w:tentative="1">
      <w:start w:val="1"/>
      <w:numFmt w:val="bullet"/>
      <w:lvlText w:val=""/>
      <w:lvlJc w:val="left"/>
      <w:pPr>
        <w:ind w:left="2160" w:hanging="360"/>
      </w:pPr>
      <w:rPr>
        <w:rFonts w:ascii="Wingdings" w:hAnsi="Wingdings" w:hint="default"/>
      </w:rPr>
    </w:lvl>
    <w:lvl w:ilvl="3" w:tplc="38F8F684" w:tentative="1">
      <w:start w:val="1"/>
      <w:numFmt w:val="bullet"/>
      <w:lvlText w:val=""/>
      <w:lvlJc w:val="left"/>
      <w:pPr>
        <w:ind w:left="2880" w:hanging="360"/>
      </w:pPr>
      <w:rPr>
        <w:rFonts w:ascii="Symbol" w:hAnsi="Symbol" w:hint="default"/>
      </w:rPr>
    </w:lvl>
    <w:lvl w:ilvl="4" w:tplc="B63A573C" w:tentative="1">
      <w:start w:val="1"/>
      <w:numFmt w:val="bullet"/>
      <w:lvlText w:val="o"/>
      <w:lvlJc w:val="left"/>
      <w:pPr>
        <w:ind w:left="3600" w:hanging="360"/>
      </w:pPr>
      <w:rPr>
        <w:rFonts w:ascii="Courier New" w:hAnsi="Courier New" w:cs="Courier New" w:hint="default"/>
      </w:rPr>
    </w:lvl>
    <w:lvl w:ilvl="5" w:tplc="04E624FA" w:tentative="1">
      <w:start w:val="1"/>
      <w:numFmt w:val="bullet"/>
      <w:lvlText w:val=""/>
      <w:lvlJc w:val="left"/>
      <w:pPr>
        <w:ind w:left="4320" w:hanging="360"/>
      </w:pPr>
      <w:rPr>
        <w:rFonts w:ascii="Wingdings" w:hAnsi="Wingdings" w:hint="default"/>
      </w:rPr>
    </w:lvl>
    <w:lvl w:ilvl="6" w:tplc="EDAEC6A6" w:tentative="1">
      <w:start w:val="1"/>
      <w:numFmt w:val="bullet"/>
      <w:lvlText w:val=""/>
      <w:lvlJc w:val="left"/>
      <w:pPr>
        <w:ind w:left="5040" w:hanging="360"/>
      </w:pPr>
      <w:rPr>
        <w:rFonts w:ascii="Symbol" w:hAnsi="Symbol" w:hint="default"/>
      </w:rPr>
    </w:lvl>
    <w:lvl w:ilvl="7" w:tplc="584A632E" w:tentative="1">
      <w:start w:val="1"/>
      <w:numFmt w:val="bullet"/>
      <w:lvlText w:val="o"/>
      <w:lvlJc w:val="left"/>
      <w:pPr>
        <w:ind w:left="5760" w:hanging="360"/>
      </w:pPr>
      <w:rPr>
        <w:rFonts w:ascii="Courier New" w:hAnsi="Courier New" w:cs="Courier New" w:hint="default"/>
      </w:rPr>
    </w:lvl>
    <w:lvl w:ilvl="8" w:tplc="322C47B6" w:tentative="1">
      <w:start w:val="1"/>
      <w:numFmt w:val="bullet"/>
      <w:lvlText w:val=""/>
      <w:lvlJc w:val="left"/>
      <w:pPr>
        <w:ind w:left="6480" w:hanging="360"/>
      </w:pPr>
      <w:rPr>
        <w:rFonts w:ascii="Wingdings" w:hAnsi="Wingdings" w:hint="default"/>
      </w:rPr>
    </w:lvl>
  </w:abstractNum>
  <w:abstractNum w:abstractNumId="2" w15:restartNumberingAfterBreak="0">
    <w:nsid w:val="4E572047"/>
    <w:multiLevelType w:val="hybridMultilevel"/>
    <w:tmpl w:val="19645AF4"/>
    <w:lvl w:ilvl="0" w:tplc="051C5460">
      <w:start w:val="1"/>
      <w:numFmt w:val="bullet"/>
      <w:lvlText w:val=""/>
      <w:lvlJc w:val="left"/>
      <w:pPr>
        <w:tabs>
          <w:tab w:val="num" w:pos="720"/>
        </w:tabs>
        <w:ind w:left="720" w:hanging="360"/>
      </w:pPr>
      <w:rPr>
        <w:rFonts w:ascii="Symbol" w:hAnsi="Symbol" w:hint="default"/>
      </w:rPr>
    </w:lvl>
    <w:lvl w:ilvl="1" w:tplc="54C6C64C">
      <w:start w:val="1"/>
      <w:numFmt w:val="bullet"/>
      <w:lvlText w:val="o"/>
      <w:lvlJc w:val="left"/>
      <w:pPr>
        <w:ind w:left="1440" w:hanging="360"/>
      </w:pPr>
      <w:rPr>
        <w:rFonts w:ascii="Courier New" w:hAnsi="Courier New" w:cs="Courier New" w:hint="default"/>
      </w:rPr>
    </w:lvl>
    <w:lvl w:ilvl="2" w:tplc="D2C8C262" w:tentative="1">
      <w:start w:val="1"/>
      <w:numFmt w:val="bullet"/>
      <w:lvlText w:val=""/>
      <w:lvlJc w:val="left"/>
      <w:pPr>
        <w:ind w:left="2160" w:hanging="360"/>
      </w:pPr>
      <w:rPr>
        <w:rFonts w:ascii="Wingdings" w:hAnsi="Wingdings" w:hint="default"/>
      </w:rPr>
    </w:lvl>
    <w:lvl w:ilvl="3" w:tplc="BF06DA76" w:tentative="1">
      <w:start w:val="1"/>
      <w:numFmt w:val="bullet"/>
      <w:lvlText w:val=""/>
      <w:lvlJc w:val="left"/>
      <w:pPr>
        <w:ind w:left="2880" w:hanging="360"/>
      </w:pPr>
      <w:rPr>
        <w:rFonts w:ascii="Symbol" w:hAnsi="Symbol" w:hint="default"/>
      </w:rPr>
    </w:lvl>
    <w:lvl w:ilvl="4" w:tplc="A26A7000" w:tentative="1">
      <w:start w:val="1"/>
      <w:numFmt w:val="bullet"/>
      <w:lvlText w:val="o"/>
      <w:lvlJc w:val="left"/>
      <w:pPr>
        <w:ind w:left="3600" w:hanging="360"/>
      </w:pPr>
      <w:rPr>
        <w:rFonts w:ascii="Courier New" w:hAnsi="Courier New" w:cs="Courier New" w:hint="default"/>
      </w:rPr>
    </w:lvl>
    <w:lvl w:ilvl="5" w:tplc="4FB67CDE" w:tentative="1">
      <w:start w:val="1"/>
      <w:numFmt w:val="bullet"/>
      <w:lvlText w:val=""/>
      <w:lvlJc w:val="left"/>
      <w:pPr>
        <w:ind w:left="4320" w:hanging="360"/>
      </w:pPr>
      <w:rPr>
        <w:rFonts w:ascii="Wingdings" w:hAnsi="Wingdings" w:hint="default"/>
      </w:rPr>
    </w:lvl>
    <w:lvl w:ilvl="6" w:tplc="F8C650BE" w:tentative="1">
      <w:start w:val="1"/>
      <w:numFmt w:val="bullet"/>
      <w:lvlText w:val=""/>
      <w:lvlJc w:val="left"/>
      <w:pPr>
        <w:ind w:left="5040" w:hanging="360"/>
      </w:pPr>
      <w:rPr>
        <w:rFonts w:ascii="Symbol" w:hAnsi="Symbol" w:hint="default"/>
      </w:rPr>
    </w:lvl>
    <w:lvl w:ilvl="7" w:tplc="163E980A" w:tentative="1">
      <w:start w:val="1"/>
      <w:numFmt w:val="bullet"/>
      <w:lvlText w:val="o"/>
      <w:lvlJc w:val="left"/>
      <w:pPr>
        <w:ind w:left="5760" w:hanging="360"/>
      </w:pPr>
      <w:rPr>
        <w:rFonts w:ascii="Courier New" w:hAnsi="Courier New" w:cs="Courier New" w:hint="default"/>
      </w:rPr>
    </w:lvl>
    <w:lvl w:ilvl="8" w:tplc="5E4C0FB8" w:tentative="1">
      <w:start w:val="1"/>
      <w:numFmt w:val="bullet"/>
      <w:lvlText w:val=""/>
      <w:lvlJc w:val="left"/>
      <w:pPr>
        <w:ind w:left="6480" w:hanging="360"/>
      </w:pPr>
      <w:rPr>
        <w:rFonts w:ascii="Wingdings" w:hAnsi="Wingdings" w:hint="default"/>
      </w:rPr>
    </w:lvl>
  </w:abstractNum>
  <w:abstractNum w:abstractNumId="3" w15:restartNumberingAfterBreak="0">
    <w:nsid w:val="591A0233"/>
    <w:multiLevelType w:val="hybridMultilevel"/>
    <w:tmpl w:val="F6467B30"/>
    <w:lvl w:ilvl="0" w:tplc="D08AF262">
      <w:start w:val="1"/>
      <w:numFmt w:val="bullet"/>
      <w:lvlText w:val=""/>
      <w:lvlJc w:val="left"/>
      <w:pPr>
        <w:tabs>
          <w:tab w:val="num" w:pos="720"/>
        </w:tabs>
        <w:ind w:left="720" w:hanging="360"/>
      </w:pPr>
      <w:rPr>
        <w:rFonts w:ascii="Symbol" w:hAnsi="Symbol" w:hint="default"/>
      </w:rPr>
    </w:lvl>
    <w:lvl w:ilvl="1" w:tplc="33E661BA">
      <w:start w:val="1"/>
      <w:numFmt w:val="bullet"/>
      <w:lvlText w:val="o"/>
      <w:lvlJc w:val="left"/>
      <w:pPr>
        <w:ind w:left="1440" w:hanging="360"/>
      </w:pPr>
      <w:rPr>
        <w:rFonts w:ascii="Courier New" w:hAnsi="Courier New" w:cs="Courier New" w:hint="default"/>
      </w:rPr>
    </w:lvl>
    <w:lvl w:ilvl="2" w:tplc="891676CA" w:tentative="1">
      <w:start w:val="1"/>
      <w:numFmt w:val="bullet"/>
      <w:lvlText w:val=""/>
      <w:lvlJc w:val="left"/>
      <w:pPr>
        <w:ind w:left="2160" w:hanging="360"/>
      </w:pPr>
      <w:rPr>
        <w:rFonts w:ascii="Wingdings" w:hAnsi="Wingdings" w:hint="default"/>
      </w:rPr>
    </w:lvl>
    <w:lvl w:ilvl="3" w:tplc="AE72BB10" w:tentative="1">
      <w:start w:val="1"/>
      <w:numFmt w:val="bullet"/>
      <w:lvlText w:val=""/>
      <w:lvlJc w:val="left"/>
      <w:pPr>
        <w:ind w:left="2880" w:hanging="360"/>
      </w:pPr>
      <w:rPr>
        <w:rFonts w:ascii="Symbol" w:hAnsi="Symbol" w:hint="default"/>
      </w:rPr>
    </w:lvl>
    <w:lvl w:ilvl="4" w:tplc="D72E9312" w:tentative="1">
      <w:start w:val="1"/>
      <w:numFmt w:val="bullet"/>
      <w:lvlText w:val="o"/>
      <w:lvlJc w:val="left"/>
      <w:pPr>
        <w:ind w:left="3600" w:hanging="360"/>
      </w:pPr>
      <w:rPr>
        <w:rFonts w:ascii="Courier New" w:hAnsi="Courier New" w:cs="Courier New" w:hint="default"/>
      </w:rPr>
    </w:lvl>
    <w:lvl w:ilvl="5" w:tplc="9A542FEA" w:tentative="1">
      <w:start w:val="1"/>
      <w:numFmt w:val="bullet"/>
      <w:lvlText w:val=""/>
      <w:lvlJc w:val="left"/>
      <w:pPr>
        <w:ind w:left="4320" w:hanging="360"/>
      </w:pPr>
      <w:rPr>
        <w:rFonts w:ascii="Wingdings" w:hAnsi="Wingdings" w:hint="default"/>
      </w:rPr>
    </w:lvl>
    <w:lvl w:ilvl="6" w:tplc="976691C6" w:tentative="1">
      <w:start w:val="1"/>
      <w:numFmt w:val="bullet"/>
      <w:lvlText w:val=""/>
      <w:lvlJc w:val="left"/>
      <w:pPr>
        <w:ind w:left="5040" w:hanging="360"/>
      </w:pPr>
      <w:rPr>
        <w:rFonts w:ascii="Symbol" w:hAnsi="Symbol" w:hint="default"/>
      </w:rPr>
    </w:lvl>
    <w:lvl w:ilvl="7" w:tplc="D640ED2A" w:tentative="1">
      <w:start w:val="1"/>
      <w:numFmt w:val="bullet"/>
      <w:lvlText w:val="o"/>
      <w:lvlJc w:val="left"/>
      <w:pPr>
        <w:ind w:left="5760" w:hanging="360"/>
      </w:pPr>
      <w:rPr>
        <w:rFonts w:ascii="Courier New" w:hAnsi="Courier New" w:cs="Courier New" w:hint="default"/>
      </w:rPr>
    </w:lvl>
    <w:lvl w:ilvl="8" w:tplc="E63C4D7C" w:tentative="1">
      <w:start w:val="1"/>
      <w:numFmt w:val="bullet"/>
      <w:lvlText w:val=""/>
      <w:lvlJc w:val="left"/>
      <w:pPr>
        <w:ind w:left="6480" w:hanging="360"/>
      </w:pPr>
      <w:rPr>
        <w:rFonts w:ascii="Wingdings" w:hAnsi="Wingdings" w:hint="default"/>
      </w:rPr>
    </w:lvl>
  </w:abstractNum>
  <w:abstractNum w:abstractNumId="4" w15:restartNumberingAfterBreak="0">
    <w:nsid w:val="641013D2"/>
    <w:multiLevelType w:val="hybridMultilevel"/>
    <w:tmpl w:val="3B745632"/>
    <w:lvl w:ilvl="0" w:tplc="C01684C6">
      <w:start w:val="1"/>
      <w:numFmt w:val="bullet"/>
      <w:lvlText w:val=""/>
      <w:lvlJc w:val="left"/>
      <w:pPr>
        <w:tabs>
          <w:tab w:val="num" w:pos="780"/>
        </w:tabs>
        <w:ind w:left="780" w:hanging="360"/>
      </w:pPr>
      <w:rPr>
        <w:rFonts w:ascii="Symbol" w:hAnsi="Symbol" w:hint="default"/>
      </w:rPr>
    </w:lvl>
    <w:lvl w:ilvl="1" w:tplc="1FB48C3A" w:tentative="1">
      <w:start w:val="1"/>
      <w:numFmt w:val="bullet"/>
      <w:lvlText w:val="o"/>
      <w:lvlJc w:val="left"/>
      <w:pPr>
        <w:ind w:left="1500" w:hanging="360"/>
      </w:pPr>
      <w:rPr>
        <w:rFonts w:ascii="Courier New" w:hAnsi="Courier New" w:cs="Courier New" w:hint="default"/>
      </w:rPr>
    </w:lvl>
    <w:lvl w:ilvl="2" w:tplc="24D68138" w:tentative="1">
      <w:start w:val="1"/>
      <w:numFmt w:val="bullet"/>
      <w:lvlText w:val=""/>
      <w:lvlJc w:val="left"/>
      <w:pPr>
        <w:ind w:left="2220" w:hanging="360"/>
      </w:pPr>
      <w:rPr>
        <w:rFonts w:ascii="Wingdings" w:hAnsi="Wingdings" w:hint="default"/>
      </w:rPr>
    </w:lvl>
    <w:lvl w:ilvl="3" w:tplc="D5C46F78" w:tentative="1">
      <w:start w:val="1"/>
      <w:numFmt w:val="bullet"/>
      <w:lvlText w:val=""/>
      <w:lvlJc w:val="left"/>
      <w:pPr>
        <w:ind w:left="2940" w:hanging="360"/>
      </w:pPr>
      <w:rPr>
        <w:rFonts w:ascii="Symbol" w:hAnsi="Symbol" w:hint="default"/>
      </w:rPr>
    </w:lvl>
    <w:lvl w:ilvl="4" w:tplc="C3A6728C" w:tentative="1">
      <w:start w:val="1"/>
      <w:numFmt w:val="bullet"/>
      <w:lvlText w:val="o"/>
      <w:lvlJc w:val="left"/>
      <w:pPr>
        <w:ind w:left="3660" w:hanging="360"/>
      </w:pPr>
      <w:rPr>
        <w:rFonts w:ascii="Courier New" w:hAnsi="Courier New" w:cs="Courier New" w:hint="default"/>
      </w:rPr>
    </w:lvl>
    <w:lvl w:ilvl="5" w:tplc="EB5006A0" w:tentative="1">
      <w:start w:val="1"/>
      <w:numFmt w:val="bullet"/>
      <w:lvlText w:val=""/>
      <w:lvlJc w:val="left"/>
      <w:pPr>
        <w:ind w:left="4380" w:hanging="360"/>
      </w:pPr>
      <w:rPr>
        <w:rFonts w:ascii="Wingdings" w:hAnsi="Wingdings" w:hint="default"/>
      </w:rPr>
    </w:lvl>
    <w:lvl w:ilvl="6" w:tplc="7B7600C0" w:tentative="1">
      <w:start w:val="1"/>
      <w:numFmt w:val="bullet"/>
      <w:lvlText w:val=""/>
      <w:lvlJc w:val="left"/>
      <w:pPr>
        <w:ind w:left="5100" w:hanging="360"/>
      </w:pPr>
      <w:rPr>
        <w:rFonts w:ascii="Symbol" w:hAnsi="Symbol" w:hint="default"/>
      </w:rPr>
    </w:lvl>
    <w:lvl w:ilvl="7" w:tplc="218A188E" w:tentative="1">
      <w:start w:val="1"/>
      <w:numFmt w:val="bullet"/>
      <w:lvlText w:val="o"/>
      <w:lvlJc w:val="left"/>
      <w:pPr>
        <w:ind w:left="5820" w:hanging="360"/>
      </w:pPr>
      <w:rPr>
        <w:rFonts w:ascii="Courier New" w:hAnsi="Courier New" w:cs="Courier New" w:hint="default"/>
      </w:rPr>
    </w:lvl>
    <w:lvl w:ilvl="8" w:tplc="5F440D28" w:tentative="1">
      <w:start w:val="1"/>
      <w:numFmt w:val="bullet"/>
      <w:lvlText w:val=""/>
      <w:lvlJc w:val="left"/>
      <w:pPr>
        <w:ind w:left="6540" w:hanging="360"/>
      </w:pPr>
      <w:rPr>
        <w:rFonts w:ascii="Wingdings" w:hAnsi="Wingdings" w:hint="default"/>
      </w:rPr>
    </w:lvl>
  </w:abstractNum>
  <w:abstractNum w:abstractNumId="5" w15:restartNumberingAfterBreak="0">
    <w:nsid w:val="69F953C3"/>
    <w:multiLevelType w:val="hybridMultilevel"/>
    <w:tmpl w:val="458EBD3E"/>
    <w:lvl w:ilvl="0" w:tplc="C0DEB902">
      <w:start w:val="1"/>
      <w:numFmt w:val="bullet"/>
      <w:lvlText w:val=""/>
      <w:lvlJc w:val="left"/>
      <w:pPr>
        <w:tabs>
          <w:tab w:val="num" w:pos="720"/>
        </w:tabs>
        <w:ind w:left="720" w:hanging="360"/>
      </w:pPr>
      <w:rPr>
        <w:rFonts w:ascii="Symbol" w:hAnsi="Symbol" w:hint="default"/>
      </w:rPr>
    </w:lvl>
    <w:lvl w:ilvl="1" w:tplc="FB1CFA26" w:tentative="1">
      <w:start w:val="1"/>
      <w:numFmt w:val="bullet"/>
      <w:lvlText w:val="o"/>
      <w:lvlJc w:val="left"/>
      <w:pPr>
        <w:ind w:left="1440" w:hanging="360"/>
      </w:pPr>
      <w:rPr>
        <w:rFonts w:ascii="Courier New" w:hAnsi="Courier New" w:cs="Courier New" w:hint="default"/>
      </w:rPr>
    </w:lvl>
    <w:lvl w:ilvl="2" w:tplc="3F88D386" w:tentative="1">
      <w:start w:val="1"/>
      <w:numFmt w:val="bullet"/>
      <w:lvlText w:val=""/>
      <w:lvlJc w:val="left"/>
      <w:pPr>
        <w:ind w:left="2160" w:hanging="360"/>
      </w:pPr>
      <w:rPr>
        <w:rFonts w:ascii="Wingdings" w:hAnsi="Wingdings" w:hint="default"/>
      </w:rPr>
    </w:lvl>
    <w:lvl w:ilvl="3" w:tplc="60005A96" w:tentative="1">
      <w:start w:val="1"/>
      <w:numFmt w:val="bullet"/>
      <w:lvlText w:val=""/>
      <w:lvlJc w:val="left"/>
      <w:pPr>
        <w:ind w:left="2880" w:hanging="360"/>
      </w:pPr>
      <w:rPr>
        <w:rFonts w:ascii="Symbol" w:hAnsi="Symbol" w:hint="default"/>
      </w:rPr>
    </w:lvl>
    <w:lvl w:ilvl="4" w:tplc="B762B76C" w:tentative="1">
      <w:start w:val="1"/>
      <w:numFmt w:val="bullet"/>
      <w:lvlText w:val="o"/>
      <w:lvlJc w:val="left"/>
      <w:pPr>
        <w:ind w:left="3600" w:hanging="360"/>
      </w:pPr>
      <w:rPr>
        <w:rFonts w:ascii="Courier New" w:hAnsi="Courier New" w:cs="Courier New" w:hint="default"/>
      </w:rPr>
    </w:lvl>
    <w:lvl w:ilvl="5" w:tplc="58005DE2" w:tentative="1">
      <w:start w:val="1"/>
      <w:numFmt w:val="bullet"/>
      <w:lvlText w:val=""/>
      <w:lvlJc w:val="left"/>
      <w:pPr>
        <w:ind w:left="4320" w:hanging="360"/>
      </w:pPr>
      <w:rPr>
        <w:rFonts w:ascii="Wingdings" w:hAnsi="Wingdings" w:hint="default"/>
      </w:rPr>
    </w:lvl>
    <w:lvl w:ilvl="6" w:tplc="44340A06" w:tentative="1">
      <w:start w:val="1"/>
      <w:numFmt w:val="bullet"/>
      <w:lvlText w:val=""/>
      <w:lvlJc w:val="left"/>
      <w:pPr>
        <w:ind w:left="5040" w:hanging="360"/>
      </w:pPr>
      <w:rPr>
        <w:rFonts w:ascii="Symbol" w:hAnsi="Symbol" w:hint="default"/>
      </w:rPr>
    </w:lvl>
    <w:lvl w:ilvl="7" w:tplc="FBDCBC7E" w:tentative="1">
      <w:start w:val="1"/>
      <w:numFmt w:val="bullet"/>
      <w:lvlText w:val="o"/>
      <w:lvlJc w:val="left"/>
      <w:pPr>
        <w:ind w:left="5760" w:hanging="360"/>
      </w:pPr>
      <w:rPr>
        <w:rFonts w:ascii="Courier New" w:hAnsi="Courier New" w:cs="Courier New" w:hint="default"/>
      </w:rPr>
    </w:lvl>
    <w:lvl w:ilvl="8" w:tplc="DA663A06"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9B"/>
    <w:rsid w:val="001B1CF2"/>
    <w:rsid w:val="00B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40CA5B-5A7B-45D8-80B6-5AF4B8E8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B0FB5"/>
    <w:rPr>
      <w:sz w:val="16"/>
      <w:szCs w:val="16"/>
    </w:rPr>
  </w:style>
  <w:style w:type="paragraph" w:styleId="CommentText">
    <w:name w:val="annotation text"/>
    <w:basedOn w:val="Normal"/>
    <w:link w:val="CommentTextChar"/>
    <w:semiHidden/>
    <w:unhideWhenUsed/>
    <w:rsid w:val="004B0FB5"/>
    <w:rPr>
      <w:sz w:val="20"/>
      <w:szCs w:val="20"/>
    </w:rPr>
  </w:style>
  <w:style w:type="character" w:customStyle="1" w:styleId="CommentTextChar">
    <w:name w:val="Comment Text Char"/>
    <w:basedOn w:val="DefaultParagraphFont"/>
    <w:link w:val="CommentText"/>
    <w:semiHidden/>
    <w:rsid w:val="004B0FB5"/>
  </w:style>
  <w:style w:type="paragraph" w:styleId="CommentSubject">
    <w:name w:val="annotation subject"/>
    <w:basedOn w:val="CommentText"/>
    <w:next w:val="CommentText"/>
    <w:link w:val="CommentSubjectChar"/>
    <w:semiHidden/>
    <w:unhideWhenUsed/>
    <w:rsid w:val="004B0FB5"/>
    <w:rPr>
      <w:b/>
      <w:bCs/>
    </w:rPr>
  </w:style>
  <w:style w:type="character" w:customStyle="1" w:styleId="CommentSubjectChar">
    <w:name w:val="Comment Subject Char"/>
    <w:basedOn w:val="CommentTextChar"/>
    <w:link w:val="CommentSubject"/>
    <w:semiHidden/>
    <w:rsid w:val="004B0FB5"/>
    <w:rPr>
      <w:b/>
      <w:bCs/>
    </w:rPr>
  </w:style>
  <w:style w:type="paragraph" w:styleId="Revision">
    <w:name w:val="Revision"/>
    <w:hidden/>
    <w:uiPriority w:val="99"/>
    <w:semiHidden/>
    <w:rsid w:val="00723C75"/>
    <w:rPr>
      <w:sz w:val="24"/>
      <w:szCs w:val="24"/>
    </w:rPr>
  </w:style>
  <w:style w:type="character" w:styleId="Hyperlink">
    <w:name w:val="Hyperlink"/>
    <w:basedOn w:val="DefaultParagraphFont"/>
    <w:unhideWhenUsed/>
    <w:rsid w:val="00F6515D"/>
    <w:rPr>
      <w:color w:val="0000FF" w:themeColor="hyperlink"/>
      <w:u w:val="single"/>
    </w:rPr>
  </w:style>
  <w:style w:type="paragraph" w:styleId="ListParagraph">
    <w:name w:val="List Paragraph"/>
    <w:basedOn w:val="Normal"/>
    <w:uiPriority w:val="34"/>
    <w:qFormat/>
    <w:rsid w:val="00CB41F8"/>
    <w:pPr>
      <w:ind w:left="720"/>
      <w:contextualSpacing/>
    </w:pPr>
  </w:style>
  <w:style w:type="character" w:styleId="FollowedHyperlink">
    <w:name w:val="FollowedHyperlink"/>
    <w:basedOn w:val="DefaultParagraphFont"/>
    <w:semiHidden/>
    <w:unhideWhenUsed/>
    <w:rsid w:val="00F21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4888</Characters>
  <Application>Microsoft Office Word</Application>
  <DocSecurity>4</DocSecurity>
  <Lines>112</Lines>
  <Paragraphs>43</Paragraphs>
  <ScaleCrop>false</ScaleCrop>
  <HeadingPairs>
    <vt:vector size="2" baseType="variant">
      <vt:variant>
        <vt:lpstr>Title</vt:lpstr>
      </vt:variant>
      <vt:variant>
        <vt:i4>1</vt:i4>
      </vt:variant>
    </vt:vector>
  </HeadingPairs>
  <TitlesOfParts>
    <vt:vector size="1" baseType="lpstr">
      <vt:lpstr>BA - HB02099 (Committee Report (Substituted))</vt:lpstr>
    </vt:vector>
  </TitlesOfParts>
  <Company>State of Texas</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26444</dc:subject>
  <dc:creator>State of Texas</dc:creator>
  <dc:description>HB 2099 by Lambert-(H)Insurance (Substitute Document Number: 86R 13008)</dc:description>
  <cp:lastModifiedBy>Scotty Wimberley</cp:lastModifiedBy>
  <cp:revision>2</cp:revision>
  <cp:lastPrinted>2003-11-26T17:21:00Z</cp:lastPrinted>
  <dcterms:created xsi:type="dcterms:W3CDTF">2019-04-18T00:42:00Z</dcterms:created>
  <dcterms:modified xsi:type="dcterms:W3CDTF">2019-04-18T00:42:00Z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19.101.535</vt:lpwstr>
  </property>
</Properties>
</file>