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7938" w:rsidTr="00345119">
        <w:tc>
          <w:tcPr>
            <w:tcW w:w="9576" w:type="dxa"/>
            <w:noWrap/>
          </w:tcPr>
          <w:p w:rsidR="008423E4" w:rsidRPr="0022177D" w:rsidRDefault="00A154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5472" w:rsidP="008423E4">
      <w:pPr>
        <w:jc w:val="center"/>
      </w:pPr>
    </w:p>
    <w:p w:rsidR="008423E4" w:rsidRPr="00B31F0E" w:rsidRDefault="00A15472" w:rsidP="008423E4"/>
    <w:p w:rsidR="008423E4" w:rsidRPr="00742794" w:rsidRDefault="00A154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7938" w:rsidTr="00345119">
        <w:tc>
          <w:tcPr>
            <w:tcW w:w="9576" w:type="dxa"/>
          </w:tcPr>
          <w:p w:rsidR="008423E4" w:rsidRPr="00861995" w:rsidRDefault="00A15472" w:rsidP="00345119">
            <w:pPr>
              <w:jc w:val="right"/>
            </w:pPr>
            <w:r>
              <w:t>C.S.H.B. 2102</w:t>
            </w:r>
          </w:p>
        </w:tc>
      </w:tr>
      <w:tr w:rsidR="00547938" w:rsidTr="00345119">
        <w:tc>
          <w:tcPr>
            <w:tcW w:w="9576" w:type="dxa"/>
          </w:tcPr>
          <w:p w:rsidR="008423E4" w:rsidRPr="00861995" w:rsidRDefault="00A15472" w:rsidP="00F26284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547938" w:rsidTr="00345119">
        <w:tc>
          <w:tcPr>
            <w:tcW w:w="9576" w:type="dxa"/>
          </w:tcPr>
          <w:p w:rsidR="008423E4" w:rsidRPr="00861995" w:rsidRDefault="00A15472" w:rsidP="00345119">
            <w:pPr>
              <w:jc w:val="right"/>
            </w:pPr>
            <w:r>
              <w:t>Insurance</w:t>
            </w:r>
          </w:p>
        </w:tc>
      </w:tr>
      <w:tr w:rsidR="00547938" w:rsidTr="00345119">
        <w:tc>
          <w:tcPr>
            <w:tcW w:w="9576" w:type="dxa"/>
          </w:tcPr>
          <w:p w:rsidR="008423E4" w:rsidRDefault="00A1547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15472" w:rsidP="008423E4">
      <w:pPr>
        <w:tabs>
          <w:tab w:val="right" w:pos="9360"/>
        </w:tabs>
      </w:pPr>
    </w:p>
    <w:p w:rsidR="008423E4" w:rsidRDefault="00A15472" w:rsidP="008423E4"/>
    <w:p w:rsidR="008423E4" w:rsidRDefault="00A154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7938" w:rsidTr="00345119">
        <w:tc>
          <w:tcPr>
            <w:tcW w:w="9576" w:type="dxa"/>
          </w:tcPr>
          <w:p w:rsidR="008423E4" w:rsidRPr="00A8133F" w:rsidRDefault="00A15472" w:rsidP="00284F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5472" w:rsidP="00284F15"/>
          <w:p w:rsidR="008423E4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collection by</w:t>
            </w:r>
            <w:r>
              <w:t xml:space="preserve"> contractors </w:t>
            </w:r>
            <w:r>
              <w:t xml:space="preserve">of </w:t>
            </w:r>
            <w:r>
              <w:t xml:space="preserve">insurance deductibles owed on work connected to the proceeds of a property or casualty insurance claim. </w:t>
            </w:r>
            <w:r>
              <w:t>It has been reported that fraudulent actors</w:t>
            </w:r>
            <w:r>
              <w:t xml:space="preserve"> in the roofing industry are </w:t>
            </w:r>
            <w:r>
              <w:t xml:space="preserve">falsely </w:t>
            </w:r>
            <w:r>
              <w:t>claiming they can waive or absorb an insurance deductible</w:t>
            </w:r>
            <w:r>
              <w:t>, which results</w:t>
            </w:r>
            <w:r>
              <w:t xml:space="preserve"> in</w:t>
            </w:r>
            <w:r>
              <w:t xml:space="preserve"> consumers </w:t>
            </w:r>
            <w:r>
              <w:t>receiving</w:t>
            </w:r>
            <w:r>
              <w:t xml:space="preserve"> lesser work or </w:t>
            </w:r>
            <w:r>
              <w:t>facing</w:t>
            </w:r>
            <w:r>
              <w:t xml:space="preserve"> higher </w:t>
            </w:r>
            <w:r>
              <w:t xml:space="preserve">insurance </w:t>
            </w:r>
            <w:r>
              <w:t xml:space="preserve">premiums </w:t>
            </w:r>
            <w:r>
              <w:t>down the road</w:t>
            </w:r>
            <w:r>
              <w:t>.</w:t>
            </w:r>
            <w:r>
              <w:t xml:space="preserve"> There have been calls to </w:t>
            </w:r>
            <w:r>
              <w:t xml:space="preserve">clarify state law governing </w:t>
            </w:r>
            <w:r w:rsidRPr="00252FE4">
              <w:t>the payment of insurance deductibles related to property insurance policies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2102 </w:t>
            </w:r>
            <w:r>
              <w:t xml:space="preserve">seeks to </w:t>
            </w:r>
            <w:r>
              <w:t>answer these cal</w:t>
            </w:r>
            <w:r>
              <w:t>ls</w:t>
            </w:r>
            <w:r>
              <w:t xml:space="preserve"> by providing for the</w:t>
            </w:r>
            <w:r>
              <w:t xml:space="preserve"> mandatory disclosure </w:t>
            </w:r>
            <w:r>
              <w:t>in certain contracts of state</w:t>
            </w:r>
            <w:r>
              <w:t xml:space="preserve"> law </w:t>
            </w:r>
            <w:r>
              <w:t xml:space="preserve">relating to </w:t>
            </w:r>
            <w:r>
              <w:t>the payment of insurance deductibles.</w:t>
            </w:r>
          </w:p>
          <w:p w:rsidR="008423E4" w:rsidRPr="00E26B13" w:rsidRDefault="00A15472" w:rsidP="00284F15">
            <w:pPr>
              <w:rPr>
                <w:b/>
              </w:rPr>
            </w:pPr>
          </w:p>
        </w:tc>
      </w:tr>
      <w:tr w:rsidR="00547938" w:rsidTr="00345119">
        <w:tc>
          <w:tcPr>
            <w:tcW w:w="9576" w:type="dxa"/>
          </w:tcPr>
          <w:p w:rsidR="0017725B" w:rsidRDefault="00A15472" w:rsidP="00284F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5472" w:rsidP="00284F15">
            <w:pPr>
              <w:rPr>
                <w:b/>
                <w:u w:val="single"/>
              </w:rPr>
            </w:pPr>
          </w:p>
          <w:p w:rsidR="00405892" w:rsidRPr="00405892" w:rsidRDefault="00A15472" w:rsidP="00284F15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A15472" w:rsidP="00284F15">
            <w:pPr>
              <w:rPr>
                <w:b/>
                <w:u w:val="single"/>
              </w:rPr>
            </w:pPr>
          </w:p>
        </w:tc>
      </w:tr>
      <w:tr w:rsidR="00547938" w:rsidTr="00345119">
        <w:tc>
          <w:tcPr>
            <w:tcW w:w="9576" w:type="dxa"/>
          </w:tcPr>
          <w:p w:rsidR="008423E4" w:rsidRPr="00A8133F" w:rsidRDefault="00A15472" w:rsidP="00284F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5472" w:rsidP="00284F15"/>
          <w:p w:rsidR="00405892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rulemaking authority is expressly granted to the commissioner of insurance in SECTION 1 of this bill.</w:t>
            </w:r>
          </w:p>
          <w:p w:rsidR="008423E4" w:rsidRPr="00E21FDC" w:rsidRDefault="00A15472" w:rsidP="00284F15">
            <w:pPr>
              <w:rPr>
                <w:b/>
              </w:rPr>
            </w:pPr>
          </w:p>
        </w:tc>
      </w:tr>
      <w:tr w:rsidR="00547938" w:rsidTr="00345119">
        <w:tc>
          <w:tcPr>
            <w:tcW w:w="9576" w:type="dxa"/>
          </w:tcPr>
          <w:p w:rsidR="008423E4" w:rsidRPr="00A8133F" w:rsidRDefault="00A15472" w:rsidP="00284F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5472" w:rsidP="00284F15"/>
          <w:p w:rsidR="008423E4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2102 amends the Insurance Code to require </w:t>
            </w:r>
            <w:r>
              <w:t xml:space="preserve">a person </w:t>
            </w:r>
            <w:r w:rsidRPr="00CC278E">
              <w:t xml:space="preserve">insured under a </w:t>
            </w:r>
            <w:r>
              <w:t xml:space="preserve">property insurance policy to </w:t>
            </w:r>
            <w:r w:rsidRPr="00CC278E">
              <w:t xml:space="preserve">pay any deductible </w:t>
            </w:r>
            <w:r w:rsidRPr="00CC278E">
              <w:t>applicable to a first-party claim made under the policy.</w:t>
            </w:r>
            <w:r>
              <w:t xml:space="preserve"> </w:t>
            </w:r>
            <w:r w:rsidRPr="00160BC1">
              <w:t xml:space="preserve">The bill defines </w:t>
            </w:r>
            <w:r>
              <w:t xml:space="preserve">"person" as </w:t>
            </w:r>
            <w:r w:rsidRPr="00CC278E">
              <w:t>an individual, corporation, association, partnership, limited liability company, or other legal entity</w:t>
            </w:r>
            <w:r>
              <w:t xml:space="preserve"> and defines </w:t>
            </w:r>
            <w:r w:rsidRPr="00F261D4">
              <w:t>"property insurance"</w:t>
            </w:r>
            <w:r w:rsidRPr="00F261D4">
              <w:t xml:space="preserve"> as insurance that provides first-p</w:t>
            </w:r>
            <w:r w:rsidRPr="00F261D4">
              <w:t>arty coverage for loss of or damage to real property.</w:t>
            </w:r>
            <w:r>
              <w:t xml:space="preserve"> </w:t>
            </w:r>
            <w:r>
              <w:t>The bill requires the Tex</w:t>
            </w:r>
            <w:r>
              <w:t>as Department of Insurance</w:t>
            </w:r>
            <w:r>
              <w:t xml:space="preserve"> (TDI)</w:t>
            </w:r>
            <w:r>
              <w:t>,</w:t>
            </w:r>
            <w:r>
              <w:t xml:space="preserve"> in coordination with other applicable state agencies and stakeholders as necessary,</w:t>
            </w:r>
            <w:r>
              <w:t xml:space="preserve"> to </w:t>
            </w:r>
            <w:r w:rsidRPr="00CC278E">
              <w:t xml:space="preserve">develop and implement </w:t>
            </w:r>
            <w:r>
              <w:t>a consumer</w:t>
            </w:r>
            <w:r w:rsidRPr="00CC278E">
              <w:t xml:space="preserve"> </w:t>
            </w:r>
            <w:r w:rsidRPr="00CC278E">
              <w:t>education program relat</w:t>
            </w:r>
            <w:r w:rsidRPr="00CC278E">
              <w:t>ed to the payment of property insurance deductibles</w:t>
            </w:r>
            <w:r>
              <w:t xml:space="preserve"> </w:t>
            </w:r>
            <w:r w:rsidRPr="00160BC1">
              <w:t>and</w:t>
            </w:r>
            <w:r w:rsidRPr="00160BC1">
              <w:t xml:space="preserve"> sets out</w:t>
            </w:r>
            <w:r w:rsidRPr="00160BC1">
              <w:t xml:space="preserve"> </w:t>
            </w:r>
            <w:r w:rsidRPr="00F13054">
              <w:t>requirements</w:t>
            </w:r>
            <w:r w:rsidRPr="00160BC1">
              <w:t xml:space="preserve"> </w:t>
            </w:r>
            <w:r w:rsidRPr="00160BC1">
              <w:t xml:space="preserve">for </w:t>
            </w:r>
            <w:r w:rsidRPr="00160BC1">
              <w:t>the program</w:t>
            </w:r>
            <w:r>
              <w:t xml:space="preserve">. </w:t>
            </w:r>
            <w:r>
              <w:t xml:space="preserve">The bill authorizes an </w:t>
            </w:r>
            <w:r w:rsidRPr="001078FA">
              <w:t xml:space="preserve">insurer that issues a property insurance policy with replacement cost coverage </w:t>
            </w:r>
            <w:r>
              <w:t>to</w:t>
            </w:r>
            <w:r w:rsidRPr="001078FA">
              <w:t xml:space="preserve"> refuse to pay a claim</w:t>
            </w:r>
            <w:r>
              <w:t xml:space="preserve"> for withheld recoverable depreciation or a replacement cost holdback under the policy </w:t>
            </w:r>
            <w:r w:rsidRPr="001078FA">
              <w:t>until the insurer receives reasonable proof of payment by the policyholder of any deductible applicable to the claim.</w:t>
            </w:r>
            <w:r>
              <w:t xml:space="preserve"> </w:t>
            </w:r>
            <w:r>
              <w:t xml:space="preserve">The bill </w:t>
            </w:r>
            <w:r>
              <w:t>sets out documentation considered</w:t>
            </w:r>
            <w:r>
              <w:t xml:space="preserve"> reasonab</w:t>
            </w:r>
            <w:r>
              <w:t xml:space="preserve">le </w:t>
            </w:r>
            <w:r w:rsidRPr="004B2A75">
              <w:t>proof of payment.</w:t>
            </w:r>
            <w:r>
              <w:t xml:space="preserve"> The bill authorizes the commissioner of insurance to adopt rules as necessary to implement </w:t>
            </w:r>
            <w:r>
              <w:t>these provisions</w:t>
            </w:r>
            <w:r>
              <w:t xml:space="preserve"> and</w:t>
            </w:r>
            <w:r>
              <w:t xml:space="preserve"> e</w:t>
            </w:r>
            <w:r>
              <w:t xml:space="preserve">xcepts such rules from </w:t>
            </w:r>
            <w:r>
              <w:t>a certain requirement</w:t>
            </w:r>
            <w:r w:rsidRPr="005168FB">
              <w:t xml:space="preserve"> for rule</w:t>
            </w:r>
            <w:r>
              <w:t>s</w:t>
            </w:r>
            <w:r w:rsidRPr="005168FB">
              <w:t xml:space="preserve"> increasing costs to regulated persons</w:t>
            </w:r>
            <w:r>
              <w:t>.</w:t>
            </w:r>
          </w:p>
          <w:p w:rsidR="00647D29" w:rsidRPr="00962668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1078FA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2102 amends the Bu</w:t>
            </w:r>
            <w:r>
              <w:t xml:space="preserve">siness </w:t>
            </w:r>
            <w:r>
              <w:t xml:space="preserve">&amp; </w:t>
            </w:r>
            <w:r>
              <w:t xml:space="preserve">Commerce Code to require a </w:t>
            </w:r>
            <w:r w:rsidRPr="00160BC1">
              <w:t>contract to provide</w:t>
            </w:r>
            <w:r w:rsidRPr="00CC278E">
              <w:t xml:space="preserve"> a good or service that is reasonably expected to be paid wholly or partly from the proceeds of a claim under a property insurance policy and that has a contract price of $1,000 or more</w:t>
            </w:r>
            <w:r>
              <w:t xml:space="preserve"> to contain a no</w:t>
            </w:r>
            <w:r>
              <w:t>tice concerning the requirement for a person to pay any applicable deductible and provides for the form and content of the notice.</w:t>
            </w:r>
          </w:p>
          <w:p w:rsidR="00647D29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D2529" w:rsidRDefault="00A15472" w:rsidP="00284F15">
            <w:pPr>
              <w:pStyle w:val="Header"/>
              <w:jc w:val="both"/>
            </w:pPr>
            <w:r>
              <w:t>C.S.</w:t>
            </w:r>
            <w:r>
              <w:t xml:space="preserve">H.B. 2102 </w:t>
            </w:r>
            <w:r>
              <w:t xml:space="preserve">creates </w:t>
            </w:r>
            <w:r>
              <w:t xml:space="preserve">a Class </w:t>
            </w:r>
            <w:r>
              <w:t>B</w:t>
            </w:r>
            <w:r>
              <w:t xml:space="preserve"> misdemeanor offense for a person who </w:t>
            </w:r>
            <w:r w:rsidRPr="001078FA">
              <w:t>sells goods or services</w:t>
            </w:r>
            <w:r>
              <w:t xml:space="preserve"> if the person</w:t>
            </w:r>
            <w:r>
              <w:t xml:space="preserve"> </w:t>
            </w:r>
            <w:r>
              <w:t>advertis</w:t>
            </w:r>
            <w:r>
              <w:t>es</w:t>
            </w:r>
            <w:r>
              <w:t xml:space="preserve"> or pro</w:t>
            </w:r>
            <w:r>
              <w:t>mis</w:t>
            </w:r>
            <w:r>
              <w:t>es</w:t>
            </w:r>
            <w:r>
              <w:t xml:space="preserve"> to provide a good or service to an insured under a property insurance policy in a transaction in which</w:t>
            </w:r>
            <w:r>
              <w:t>:</w:t>
            </w:r>
          </w:p>
          <w:p w:rsidR="00F31413" w:rsidRDefault="00A15472" w:rsidP="00284F15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the good or service will be paid for by the insured from the proceeds of a property insurance claim; and </w:t>
            </w:r>
          </w:p>
          <w:p w:rsidR="002A0A0D" w:rsidRDefault="00A15472" w:rsidP="00284F15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the person selling the good or service, </w:t>
            </w:r>
            <w:r>
              <w:t>without the insurer's consent</w:t>
            </w:r>
            <w:r>
              <w:t>:</w:t>
            </w:r>
            <w:r>
              <w:t xml:space="preserve"> </w:t>
            </w:r>
          </w:p>
          <w:p w:rsidR="002A0A0D" w:rsidRDefault="00A15472" w:rsidP="00284F15">
            <w:pPr>
              <w:pStyle w:val="Header"/>
              <w:numPr>
                <w:ilvl w:val="1"/>
                <w:numId w:val="1"/>
              </w:numPr>
              <w:spacing w:before="120"/>
              <w:jc w:val="both"/>
            </w:pPr>
            <w:r>
              <w:t>will pay, waive, absorb, or otherwise decline to charge or collect the amount of the insured's deductible;</w:t>
            </w:r>
            <w:r>
              <w:t xml:space="preserve"> </w:t>
            </w:r>
          </w:p>
          <w:p w:rsidR="002A0A0D" w:rsidRDefault="00A15472" w:rsidP="00284F1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will </w:t>
            </w:r>
            <w:r>
              <w:t xml:space="preserve">provide a rebate or credit in connection with the sale of the good or service that will offset all or part of </w:t>
            </w:r>
            <w:r>
              <w:t>the amount paid by the insured as a deductible</w:t>
            </w:r>
            <w:r>
              <w:t>;</w:t>
            </w:r>
            <w:r>
              <w:t xml:space="preserve"> or </w:t>
            </w:r>
          </w:p>
          <w:p w:rsidR="00FC376F" w:rsidRDefault="00A15472" w:rsidP="00962668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will </w:t>
            </w:r>
            <w:r>
              <w:t>in any other manner assist the insured in avoiding monetary payment of the required insurance deductible</w:t>
            </w:r>
            <w:r>
              <w:t>.</w:t>
            </w:r>
            <w:r>
              <w:t xml:space="preserve"> </w:t>
            </w:r>
          </w:p>
          <w:p w:rsidR="00592BD8" w:rsidRDefault="00A15472" w:rsidP="00284F15">
            <w:pPr>
              <w:pStyle w:val="Header"/>
              <w:jc w:val="both"/>
            </w:pPr>
            <w:r>
              <w:t xml:space="preserve">The bill </w:t>
            </w:r>
            <w:r>
              <w:t>creates</w:t>
            </w:r>
            <w:r>
              <w:t xml:space="preserve"> a Class </w:t>
            </w:r>
            <w:r>
              <w:t>B</w:t>
            </w:r>
            <w:r>
              <w:t xml:space="preserve"> misdemeanor</w:t>
            </w:r>
            <w:r>
              <w:t xml:space="preserve"> offense</w:t>
            </w:r>
            <w:r>
              <w:t xml:space="preserve"> </w:t>
            </w:r>
            <w:r>
              <w:t xml:space="preserve">for a person who sells goods or services </w:t>
            </w:r>
            <w:r>
              <w:t>to p</w:t>
            </w:r>
            <w:r>
              <w:t xml:space="preserve">rovide </w:t>
            </w:r>
            <w:r>
              <w:t>such</w:t>
            </w:r>
            <w:r>
              <w:t xml:space="preserve"> a good or service</w:t>
            </w:r>
            <w:r>
              <w:t xml:space="preserve"> in such a manner</w:t>
            </w:r>
            <w:r>
              <w:t xml:space="preserve">. The bill </w:t>
            </w:r>
            <w:r>
              <w:t xml:space="preserve">creates </w:t>
            </w:r>
            <w:r>
              <w:t xml:space="preserve">a Class </w:t>
            </w:r>
            <w:r>
              <w:t>B</w:t>
            </w:r>
            <w:r>
              <w:t xml:space="preserve"> misdemeanor</w:t>
            </w:r>
            <w:r>
              <w:t xml:space="preserve"> offense</w:t>
            </w:r>
            <w:r>
              <w:t xml:space="preserve"> for a </w:t>
            </w:r>
            <w:r w:rsidRPr="00592BD8">
              <w:t>person insured under a property insurance policy</w:t>
            </w:r>
            <w:r>
              <w:t xml:space="preserve"> </w:t>
            </w:r>
            <w:r>
              <w:t>who</w:t>
            </w:r>
            <w:r>
              <w:t xml:space="preserve">, </w:t>
            </w:r>
            <w:r w:rsidRPr="00592BD8">
              <w:t>in connection with a first-party claim under the policy for loss of or damage to real or personal pro</w:t>
            </w:r>
            <w:r w:rsidRPr="00592BD8">
              <w:t>perty, knowingly</w:t>
            </w:r>
            <w:r>
              <w:t xml:space="preserve"> </w:t>
            </w:r>
            <w:r>
              <w:t xml:space="preserve">submits or allows a claim to be submitted in </w:t>
            </w:r>
            <w:r>
              <w:t>the prohibited</w:t>
            </w:r>
            <w:r>
              <w:t xml:space="preserve"> manner unless the insured person promptly notifies the insurer of the violation. The bill removes the </w:t>
            </w:r>
            <w:r>
              <w:t xml:space="preserve">Class A misdemeanor offense </w:t>
            </w:r>
            <w:r>
              <w:t>relating to</w:t>
            </w:r>
            <w:r>
              <w:t xml:space="preserve"> certain insurance claims for excessiv</w:t>
            </w:r>
            <w:r>
              <w:t>e charges</w:t>
            </w:r>
            <w:r>
              <w:t>.</w:t>
            </w:r>
            <w:r>
              <w:t xml:space="preserve"> </w:t>
            </w:r>
          </w:p>
          <w:p w:rsidR="008423E4" w:rsidRPr="00835628" w:rsidRDefault="00A15472" w:rsidP="00284F15">
            <w:pPr>
              <w:rPr>
                <w:b/>
              </w:rPr>
            </w:pPr>
          </w:p>
        </w:tc>
      </w:tr>
      <w:tr w:rsidR="00547938" w:rsidTr="00345119">
        <w:tc>
          <w:tcPr>
            <w:tcW w:w="9576" w:type="dxa"/>
          </w:tcPr>
          <w:p w:rsidR="008423E4" w:rsidRPr="00A8133F" w:rsidRDefault="00A15472" w:rsidP="00284F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5472" w:rsidP="00284F15"/>
          <w:p w:rsidR="008423E4" w:rsidRPr="003624F2" w:rsidRDefault="00A15472" w:rsidP="00284F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05892">
              <w:t>September 1, 2019.</w:t>
            </w:r>
          </w:p>
          <w:p w:rsidR="008423E4" w:rsidRPr="00233FDB" w:rsidRDefault="00A15472" w:rsidP="00284F15">
            <w:pPr>
              <w:rPr>
                <w:b/>
              </w:rPr>
            </w:pPr>
          </w:p>
        </w:tc>
      </w:tr>
      <w:tr w:rsidR="00547938" w:rsidTr="00345119">
        <w:tc>
          <w:tcPr>
            <w:tcW w:w="9576" w:type="dxa"/>
          </w:tcPr>
          <w:p w:rsidR="00F26284" w:rsidRDefault="00A15472" w:rsidP="00284F1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76E77" w:rsidRDefault="00A15472" w:rsidP="00284F15">
            <w:pPr>
              <w:jc w:val="both"/>
            </w:pPr>
          </w:p>
          <w:p w:rsidR="00D76E77" w:rsidRDefault="00A15472" w:rsidP="00284F15">
            <w:pPr>
              <w:jc w:val="both"/>
            </w:pPr>
            <w:r>
              <w:t xml:space="preserve">While C.S.H.B. 2102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DD2127" w:rsidRDefault="00A15472" w:rsidP="00284F15">
            <w:pPr>
              <w:jc w:val="both"/>
            </w:pPr>
          </w:p>
          <w:p w:rsidR="00DD2127" w:rsidRDefault="00A15472" w:rsidP="00284F15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</w:t>
            </w:r>
            <w:r>
              <w:t>the definition of "property insurance</w:t>
            </w:r>
            <w:r>
              <w:t>.</w:t>
            </w:r>
            <w:r>
              <w:t>"</w:t>
            </w:r>
          </w:p>
          <w:p w:rsidR="00DD2127" w:rsidRDefault="00A15472" w:rsidP="00284F15">
            <w:pPr>
              <w:jc w:val="both"/>
            </w:pPr>
          </w:p>
          <w:p w:rsidR="006444FC" w:rsidRDefault="00A15472" w:rsidP="00284F15">
            <w:pPr>
              <w:jc w:val="both"/>
            </w:pPr>
            <w:r>
              <w:t xml:space="preserve">The substitute includes a </w:t>
            </w:r>
            <w:r w:rsidRPr="00160BC1">
              <w:t xml:space="preserve">specification that </w:t>
            </w:r>
            <w:r>
              <w:t>TDI</w:t>
            </w:r>
            <w:r>
              <w:t xml:space="preserve"> is required to</w:t>
            </w:r>
            <w:r w:rsidRPr="00160BC1">
              <w:t xml:space="preserve"> develop and implement</w:t>
            </w:r>
            <w:r>
              <w:t xml:space="preserve"> the consumer education program in coordination with </w:t>
            </w:r>
            <w:r w:rsidRPr="00DD2127">
              <w:t>other stat</w:t>
            </w:r>
            <w:r w:rsidRPr="00DD2127">
              <w:t>e agencies and stakeholders as necessary</w:t>
            </w:r>
            <w:r>
              <w:t xml:space="preserve">.  </w:t>
            </w:r>
          </w:p>
          <w:p w:rsidR="006444FC" w:rsidRDefault="00A15472" w:rsidP="00284F15">
            <w:pPr>
              <w:jc w:val="both"/>
            </w:pPr>
          </w:p>
          <w:p w:rsidR="008C0862" w:rsidRDefault="00A15472" w:rsidP="00284F15">
            <w:pPr>
              <w:jc w:val="both"/>
            </w:pPr>
            <w:r>
              <w:t xml:space="preserve">The substitute revises provisions relating to </w:t>
            </w:r>
            <w:r>
              <w:t>the</w:t>
            </w:r>
            <w:r>
              <w:t xml:space="preserve"> </w:t>
            </w:r>
            <w:r>
              <w:t>authorization for an insurer that issues a property insurance policy with replacement cost coverage</w:t>
            </w:r>
            <w:r>
              <w:t xml:space="preserve"> to refuse to pay certain claims until the insurer receives </w:t>
            </w:r>
            <w:r>
              <w:t>re</w:t>
            </w:r>
            <w:r>
              <w:t>asonable</w:t>
            </w:r>
            <w:r>
              <w:t xml:space="preserve"> pro</w:t>
            </w:r>
            <w:r>
              <w:t xml:space="preserve">of of payment of </w:t>
            </w:r>
            <w:r>
              <w:t>any</w:t>
            </w:r>
            <w:r>
              <w:t xml:space="preserve"> applicable deductible </w:t>
            </w:r>
            <w:r>
              <w:t>as follows</w:t>
            </w:r>
            <w:r>
              <w:t>:</w:t>
            </w:r>
          </w:p>
          <w:p w:rsidR="00F261D4" w:rsidRDefault="00A15472" w:rsidP="00284F1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changes the</w:t>
            </w:r>
            <w:r>
              <w:t xml:space="preserve"> type of</w:t>
            </w:r>
            <w:r>
              <w:t xml:space="preserve"> claim </w:t>
            </w:r>
            <w:r>
              <w:t>to which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a</w:t>
            </w:r>
            <w:r>
              <w:t>uthorization</w:t>
            </w:r>
            <w:r>
              <w:t xml:space="preserve"> </w:t>
            </w:r>
            <w:r>
              <w:t>applies</w:t>
            </w:r>
            <w:r>
              <w:t xml:space="preserve"> from </w:t>
            </w:r>
            <w:r w:rsidRPr="00551E25">
              <w:t>a claim for replacement cost</w:t>
            </w:r>
            <w:r>
              <w:t xml:space="preserve"> to </w:t>
            </w:r>
            <w:r w:rsidRPr="00551E25">
              <w:t>a claim for withheld recoverable depreciation or a replacement cost holdback</w:t>
            </w:r>
            <w:r>
              <w:t>;</w:t>
            </w:r>
          </w:p>
          <w:p w:rsidR="00F261D4" w:rsidRDefault="00A15472" w:rsidP="00284F1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160BC1">
              <w:t>does not incl</w:t>
            </w:r>
            <w:r w:rsidRPr="00160BC1">
              <w:t>ude a provision establishing the applicability of the authorization</w:t>
            </w:r>
            <w:r>
              <w:t>; and</w:t>
            </w:r>
          </w:p>
          <w:p w:rsidR="00551E25" w:rsidRDefault="00A15472" w:rsidP="0096266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includes </w:t>
            </w:r>
            <w:r>
              <w:t xml:space="preserve">provisions </w:t>
            </w:r>
            <w:r>
              <w:t>set</w:t>
            </w:r>
            <w:r>
              <w:t>ting</w:t>
            </w:r>
            <w:r>
              <w:t xml:space="preserve"> out documentation considered reasonable proof of payment for purposes of the authorization.</w:t>
            </w:r>
          </w:p>
          <w:p w:rsidR="00A47CEC" w:rsidRDefault="00A15472" w:rsidP="00284F15">
            <w:pPr>
              <w:jc w:val="both"/>
            </w:pPr>
          </w:p>
          <w:p w:rsidR="00A47CEC" w:rsidRDefault="00A15472" w:rsidP="00284F15">
            <w:pPr>
              <w:jc w:val="both"/>
            </w:pPr>
            <w:r>
              <w:t>The substitute changes the penalty for the created offenses fr</w:t>
            </w:r>
            <w:r>
              <w:t xml:space="preserve">om </w:t>
            </w:r>
            <w:r>
              <w:t xml:space="preserve">a </w:t>
            </w:r>
            <w:r>
              <w:t xml:space="preserve">Class A misdemeanor to </w:t>
            </w:r>
            <w:r>
              <w:t xml:space="preserve">a </w:t>
            </w:r>
            <w:r>
              <w:t>Class B misdemeanor.</w:t>
            </w:r>
          </w:p>
          <w:p w:rsidR="00B05C40" w:rsidRDefault="00A15472" w:rsidP="00284F15">
            <w:pPr>
              <w:jc w:val="both"/>
            </w:pPr>
          </w:p>
          <w:p w:rsidR="001F44F4" w:rsidRDefault="00A15472" w:rsidP="00284F15">
            <w:pPr>
              <w:jc w:val="both"/>
            </w:pPr>
            <w:r>
              <w:t>The substitute does not creat</w:t>
            </w:r>
            <w:r>
              <w:t>e</w:t>
            </w:r>
            <w:r>
              <w:t xml:space="preserve"> a</w:t>
            </w:r>
            <w:r>
              <w:t xml:space="preserve">n </w:t>
            </w:r>
            <w:r>
              <w:t>offense for a person</w:t>
            </w:r>
            <w:r>
              <w:t xml:space="preserve"> insured under a property insurance policy</w:t>
            </w:r>
            <w:r>
              <w:t xml:space="preserve"> who </w:t>
            </w:r>
            <w:r w:rsidRPr="00B05C40">
              <w:t>knowingly pays for a good or service with proceeds of the claim and</w:t>
            </w:r>
            <w:r>
              <w:t xml:space="preserve"> </w:t>
            </w:r>
            <w:r w:rsidRPr="00B05C40">
              <w:t xml:space="preserve">fails to pay a required insurance deductible or accepts a </w:t>
            </w:r>
            <w:r>
              <w:t xml:space="preserve">prohibited </w:t>
            </w:r>
            <w:r w:rsidRPr="00B05C40">
              <w:t>rebate or credit</w:t>
            </w:r>
            <w:r>
              <w:t xml:space="preserve">, but </w:t>
            </w:r>
            <w:r>
              <w:t xml:space="preserve">the substitute </w:t>
            </w:r>
            <w:r>
              <w:t xml:space="preserve">does </w:t>
            </w:r>
            <w:r>
              <w:t>create an</w:t>
            </w:r>
            <w:r>
              <w:t xml:space="preserve"> offense for </w:t>
            </w:r>
            <w:r>
              <w:t>a</w:t>
            </w:r>
            <w:r>
              <w:t xml:space="preserve"> person</w:t>
            </w:r>
            <w:r>
              <w:t xml:space="preserve"> insured under a property insurance policy</w:t>
            </w:r>
            <w:r>
              <w:t xml:space="preserve"> who</w:t>
            </w:r>
            <w:r>
              <w:t xml:space="preserve"> knowingly</w:t>
            </w:r>
            <w:r>
              <w:t xml:space="preserve"> </w:t>
            </w:r>
            <w:r w:rsidRPr="00B05C40">
              <w:t>submits or allows</w:t>
            </w:r>
            <w:r>
              <w:t xml:space="preserve"> a claim to be submitted in</w:t>
            </w:r>
            <w:r w:rsidRPr="00B05C40">
              <w:t xml:space="preserve"> a </w:t>
            </w:r>
            <w:r>
              <w:t>manner proh</w:t>
            </w:r>
            <w:r>
              <w:t>ibited by the bill</w:t>
            </w:r>
            <w:r w:rsidRPr="00B05C40">
              <w:t xml:space="preserve"> unless the insured person promptly notifies the insurer of the violation.</w:t>
            </w:r>
          </w:p>
          <w:p w:rsidR="001F44F4" w:rsidRDefault="00A15472" w:rsidP="00284F15">
            <w:pPr>
              <w:jc w:val="both"/>
            </w:pPr>
          </w:p>
          <w:p w:rsidR="00B05C40" w:rsidRPr="00D76E77" w:rsidRDefault="00A15472" w:rsidP="00284F15">
            <w:pPr>
              <w:jc w:val="both"/>
            </w:pPr>
            <w:r>
              <w:t xml:space="preserve">The substitute includes </w:t>
            </w:r>
            <w:r>
              <w:t>an</w:t>
            </w:r>
            <w:r>
              <w:t xml:space="preserve"> authoriz</w:t>
            </w:r>
            <w:r>
              <w:t>ation</w:t>
            </w:r>
            <w:r>
              <w:t xml:space="preserve"> for</w:t>
            </w:r>
            <w:r>
              <w:t xml:space="preserve"> the commissioner of insurance to adopt rules to implement </w:t>
            </w:r>
            <w:r>
              <w:t xml:space="preserve">certain </w:t>
            </w:r>
            <w:r>
              <w:t>bill provisions relating to the payment of an insur</w:t>
            </w:r>
            <w:r>
              <w:t>ance deductible</w:t>
            </w:r>
            <w:r>
              <w:t xml:space="preserve">. The substitute excepts </w:t>
            </w:r>
            <w:r>
              <w:t xml:space="preserve">such rules from </w:t>
            </w:r>
            <w:r>
              <w:t xml:space="preserve">a requirement for rules </w:t>
            </w:r>
            <w:r w:rsidRPr="005168FB">
              <w:t>increasing costs to regulated persons</w:t>
            </w:r>
            <w:r>
              <w:t xml:space="preserve">.  </w:t>
            </w:r>
            <w:r>
              <w:t xml:space="preserve">  </w:t>
            </w:r>
            <w:r>
              <w:t xml:space="preserve">    </w:t>
            </w:r>
          </w:p>
        </w:tc>
      </w:tr>
      <w:tr w:rsidR="00547938" w:rsidTr="00345119">
        <w:tc>
          <w:tcPr>
            <w:tcW w:w="9576" w:type="dxa"/>
          </w:tcPr>
          <w:p w:rsidR="00F26284" w:rsidRPr="009C1E9A" w:rsidRDefault="00A15472" w:rsidP="00284F15">
            <w:pPr>
              <w:rPr>
                <w:b/>
                <w:u w:val="single"/>
              </w:rPr>
            </w:pPr>
          </w:p>
        </w:tc>
      </w:tr>
      <w:tr w:rsidR="00547938" w:rsidTr="00345119">
        <w:tc>
          <w:tcPr>
            <w:tcW w:w="9576" w:type="dxa"/>
          </w:tcPr>
          <w:p w:rsidR="00F26284" w:rsidRPr="00F26284" w:rsidRDefault="00A15472" w:rsidP="00284F15">
            <w:pPr>
              <w:jc w:val="both"/>
            </w:pPr>
          </w:p>
        </w:tc>
      </w:tr>
    </w:tbl>
    <w:p w:rsidR="008423E4" w:rsidRPr="00BE0E75" w:rsidRDefault="00A154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547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472">
      <w:r>
        <w:separator/>
      </w:r>
    </w:p>
  </w:endnote>
  <w:endnote w:type="continuationSeparator" w:id="0">
    <w:p w:rsidR="00000000" w:rsidRDefault="00A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5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7938" w:rsidTr="009C1E9A">
      <w:trPr>
        <w:cantSplit/>
      </w:trPr>
      <w:tc>
        <w:tcPr>
          <w:tcW w:w="0" w:type="pct"/>
        </w:tcPr>
        <w:p w:rsidR="00137D90" w:rsidRDefault="00A154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54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54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54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54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938" w:rsidTr="009C1E9A">
      <w:trPr>
        <w:cantSplit/>
      </w:trPr>
      <w:tc>
        <w:tcPr>
          <w:tcW w:w="0" w:type="pct"/>
        </w:tcPr>
        <w:p w:rsidR="00EC379B" w:rsidRDefault="00A154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54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27559</w:t>
          </w:r>
        </w:p>
      </w:tc>
      <w:tc>
        <w:tcPr>
          <w:tcW w:w="2453" w:type="pct"/>
        </w:tcPr>
        <w:p w:rsidR="00EC379B" w:rsidRDefault="00A154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19.106.1855</w:t>
          </w:r>
          <w:r>
            <w:fldChar w:fldCharType="end"/>
          </w:r>
        </w:p>
      </w:tc>
    </w:tr>
    <w:tr w:rsidR="00547938" w:rsidTr="009C1E9A">
      <w:trPr>
        <w:cantSplit/>
      </w:trPr>
      <w:tc>
        <w:tcPr>
          <w:tcW w:w="0" w:type="pct"/>
        </w:tcPr>
        <w:p w:rsidR="00EC379B" w:rsidRDefault="00A154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54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25943</w:t>
          </w:r>
        </w:p>
      </w:tc>
      <w:tc>
        <w:tcPr>
          <w:tcW w:w="2453" w:type="pct"/>
        </w:tcPr>
        <w:p w:rsidR="00EC379B" w:rsidRDefault="00A15472" w:rsidP="006D504F">
          <w:pPr>
            <w:pStyle w:val="Footer"/>
            <w:rPr>
              <w:rStyle w:val="PageNumber"/>
            </w:rPr>
          </w:pPr>
        </w:p>
        <w:p w:rsidR="00EC379B" w:rsidRDefault="00A154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9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54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A154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54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472">
      <w:r>
        <w:separator/>
      </w:r>
    </w:p>
  </w:footnote>
  <w:footnote w:type="continuationSeparator" w:id="0">
    <w:p w:rsidR="00000000" w:rsidRDefault="00A1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5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5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1260"/>
    <w:multiLevelType w:val="hybridMultilevel"/>
    <w:tmpl w:val="551A33D6"/>
    <w:lvl w:ilvl="0" w:tplc="0B26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CF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8A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D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60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7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C6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D39"/>
    <w:multiLevelType w:val="hybridMultilevel"/>
    <w:tmpl w:val="832C8ECE"/>
    <w:lvl w:ilvl="0" w:tplc="EAFA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0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4D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0A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24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0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B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65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28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38"/>
    <w:rsid w:val="00547938"/>
    <w:rsid w:val="00A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49BA0-D128-4740-936E-FCB6A75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58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8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892"/>
    <w:rPr>
      <w:b/>
      <w:bCs/>
    </w:rPr>
  </w:style>
  <w:style w:type="paragraph" w:styleId="ListParagraph">
    <w:name w:val="List Paragraph"/>
    <w:basedOn w:val="Normal"/>
    <w:uiPriority w:val="34"/>
    <w:qFormat/>
    <w:rsid w:val="008C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5555</Characters>
  <Application>Microsoft Office Word</Application>
  <DocSecurity>4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HB02102 (Committee Report (Substituted))</vt:lpstr>
    </vt:vector>
  </TitlesOfParts>
  <Company>State of Texas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27559</dc:subject>
  <dc:creator>State of Texas</dc:creator>
  <dc:description>HB 2102 by Capriglione-(H)Insurance (Substitute Document Number: 86R 25943)</dc:description>
  <cp:lastModifiedBy>Stacey Nicchio</cp:lastModifiedBy>
  <cp:revision>2</cp:revision>
  <cp:lastPrinted>2019-04-05T20:34:00Z</cp:lastPrinted>
  <dcterms:created xsi:type="dcterms:W3CDTF">2019-04-25T00:09:00Z</dcterms:created>
  <dcterms:modified xsi:type="dcterms:W3CDTF">2019-04-25T00:09:00Z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19.106.1855</vt:lpwstr>
  </property>
</Properties>
</file>