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95C76" w:rsidTr="00345119">
        <w:tc>
          <w:tcPr>
            <w:tcW w:w="9576" w:type="dxa"/>
            <w:noWrap/>
          </w:tcPr>
          <w:p w:rsidR="008423E4" w:rsidRPr="0022177D" w:rsidRDefault="006D249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D2497" w:rsidP="008423E4">
      <w:pPr>
        <w:jc w:val="center"/>
      </w:pPr>
    </w:p>
    <w:p w:rsidR="008423E4" w:rsidRPr="00B31F0E" w:rsidRDefault="006D2497" w:rsidP="008423E4"/>
    <w:p w:rsidR="008423E4" w:rsidRPr="00742794" w:rsidRDefault="006D249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95C76" w:rsidTr="00345119">
        <w:tc>
          <w:tcPr>
            <w:tcW w:w="9576" w:type="dxa"/>
          </w:tcPr>
          <w:p w:rsidR="008423E4" w:rsidRPr="00861995" w:rsidRDefault="006D2497" w:rsidP="00345119">
            <w:pPr>
              <w:jc w:val="right"/>
            </w:pPr>
            <w:r>
              <w:t>C.S.H.B. 2112</w:t>
            </w:r>
          </w:p>
        </w:tc>
      </w:tr>
      <w:tr w:rsidR="00495C76" w:rsidTr="00345119">
        <w:tc>
          <w:tcPr>
            <w:tcW w:w="9576" w:type="dxa"/>
          </w:tcPr>
          <w:p w:rsidR="008423E4" w:rsidRPr="00861995" w:rsidRDefault="006D2497" w:rsidP="003F2B21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495C76" w:rsidTr="00345119">
        <w:tc>
          <w:tcPr>
            <w:tcW w:w="9576" w:type="dxa"/>
          </w:tcPr>
          <w:p w:rsidR="008423E4" w:rsidRPr="00861995" w:rsidRDefault="006D2497" w:rsidP="00345119">
            <w:pPr>
              <w:jc w:val="right"/>
            </w:pPr>
            <w:r>
              <w:t>Licensing &amp; Administrative Procedures</w:t>
            </w:r>
          </w:p>
        </w:tc>
      </w:tr>
      <w:tr w:rsidR="00495C76" w:rsidTr="00345119">
        <w:tc>
          <w:tcPr>
            <w:tcW w:w="9576" w:type="dxa"/>
          </w:tcPr>
          <w:p w:rsidR="008423E4" w:rsidRDefault="006D249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D2497" w:rsidP="008423E4">
      <w:pPr>
        <w:tabs>
          <w:tab w:val="right" w:pos="9360"/>
        </w:tabs>
      </w:pPr>
    </w:p>
    <w:p w:rsidR="008423E4" w:rsidRDefault="006D2497" w:rsidP="008423E4"/>
    <w:p w:rsidR="008423E4" w:rsidRDefault="006D249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95C76" w:rsidTr="00345119">
        <w:tc>
          <w:tcPr>
            <w:tcW w:w="9576" w:type="dxa"/>
          </w:tcPr>
          <w:p w:rsidR="008423E4" w:rsidRPr="00A8133F" w:rsidRDefault="006D2497" w:rsidP="0007544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D2497" w:rsidP="00075442"/>
          <w:p w:rsidR="008423E4" w:rsidRDefault="006D2497" w:rsidP="00075442">
            <w:pPr>
              <w:pStyle w:val="Header"/>
              <w:jc w:val="both"/>
            </w:pPr>
            <w:r>
              <w:t>The Texas Department of Motor Vehicles (TxDMV) has</w:t>
            </w:r>
            <w:r>
              <w:t xml:space="preserve"> </w:t>
            </w:r>
            <w:r>
              <w:t>reported</w:t>
            </w:r>
            <w:r>
              <w:t xml:space="preserve"> that the process </w:t>
            </w:r>
            <w:r>
              <w:t xml:space="preserve">for </w:t>
            </w:r>
            <w:r>
              <w:t>issu</w:t>
            </w:r>
            <w:r>
              <w:t>ing</w:t>
            </w:r>
            <w:r>
              <w:t xml:space="preserve"> a salvage vehicle title to owners who have</w:t>
            </w:r>
            <w:r>
              <w:t xml:space="preserve"> chosen to</w:t>
            </w:r>
            <w:r>
              <w:t xml:space="preserve"> retain the vehicle </w:t>
            </w:r>
            <w:r>
              <w:t xml:space="preserve">after filing an insurance claim </w:t>
            </w:r>
            <w:r>
              <w:t>ha</w:t>
            </w:r>
            <w:r>
              <w:t>s become problematic</w:t>
            </w:r>
            <w:r>
              <w:t xml:space="preserve">. </w:t>
            </w:r>
            <w:r>
              <w:t>TxDMV notes</w:t>
            </w:r>
            <w:r>
              <w:t xml:space="preserve"> that problems </w:t>
            </w:r>
            <w:r>
              <w:t xml:space="preserve">can </w:t>
            </w:r>
            <w:r>
              <w:t xml:space="preserve">arise </w:t>
            </w:r>
            <w:r>
              <w:t>if an owner does not apply for a salvage vehicle title properly and the</w:t>
            </w:r>
            <w:r>
              <w:t xml:space="preserve"> vehicle is kept </w:t>
            </w:r>
            <w:r>
              <w:t>but</w:t>
            </w:r>
            <w:r>
              <w:t xml:space="preserve"> later sold</w:t>
            </w:r>
            <w:r>
              <w:t xml:space="preserve">. </w:t>
            </w:r>
            <w:r>
              <w:t xml:space="preserve">There are further concerns regarding the </w:t>
            </w:r>
            <w:r>
              <w:t xml:space="preserve">correct </w:t>
            </w:r>
            <w:r>
              <w:t xml:space="preserve">classification of a vehicle as a flood vehicle and the ramifications </w:t>
            </w:r>
            <w:r>
              <w:t>the classification</w:t>
            </w:r>
            <w:r>
              <w:t xml:space="preserve"> has on the proper information being branded on the title of the vehicle. </w:t>
            </w:r>
            <w:r>
              <w:t>C.S.</w:t>
            </w:r>
            <w:r>
              <w:t>H.B</w:t>
            </w:r>
            <w:r>
              <w:t>. </w:t>
            </w:r>
            <w:r>
              <w:t>2112 seeks to address th</w:t>
            </w:r>
            <w:r>
              <w:t xml:space="preserve">ese issues by providing for the </w:t>
            </w:r>
            <w:r>
              <w:t xml:space="preserve">automatic issuance of a salvage vehicle title </w:t>
            </w:r>
            <w:r>
              <w:t xml:space="preserve">and by </w:t>
            </w:r>
            <w:r>
              <w:t>further defin</w:t>
            </w:r>
            <w:r>
              <w:t>ing</w:t>
            </w:r>
            <w:r>
              <w:t xml:space="preserve"> </w:t>
            </w:r>
            <w:r>
              <w:t>what constitutes a f</w:t>
            </w:r>
            <w:r>
              <w:t xml:space="preserve">lood </w:t>
            </w:r>
            <w:r>
              <w:t>v</w:t>
            </w:r>
            <w:r>
              <w:t xml:space="preserve">ehicle.  </w:t>
            </w:r>
          </w:p>
          <w:p w:rsidR="008423E4" w:rsidRPr="00E26B13" w:rsidRDefault="006D2497" w:rsidP="00075442">
            <w:pPr>
              <w:rPr>
                <w:b/>
              </w:rPr>
            </w:pPr>
          </w:p>
        </w:tc>
      </w:tr>
      <w:tr w:rsidR="00495C76" w:rsidTr="00345119">
        <w:tc>
          <w:tcPr>
            <w:tcW w:w="9576" w:type="dxa"/>
          </w:tcPr>
          <w:p w:rsidR="0017725B" w:rsidRDefault="006D2497" w:rsidP="000754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D2497" w:rsidP="00075442">
            <w:pPr>
              <w:rPr>
                <w:b/>
                <w:u w:val="single"/>
              </w:rPr>
            </w:pPr>
          </w:p>
          <w:p w:rsidR="00197F1D" w:rsidRPr="00197F1D" w:rsidRDefault="006D2497" w:rsidP="00075442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D2497" w:rsidP="00075442">
            <w:pPr>
              <w:rPr>
                <w:b/>
                <w:u w:val="single"/>
              </w:rPr>
            </w:pPr>
          </w:p>
        </w:tc>
      </w:tr>
      <w:tr w:rsidR="00495C76" w:rsidTr="00345119">
        <w:tc>
          <w:tcPr>
            <w:tcW w:w="9576" w:type="dxa"/>
          </w:tcPr>
          <w:p w:rsidR="008423E4" w:rsidRPr="00A8133F" w:rsidRDefault="006D2497" w:rsidP="0007544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D2497" w:rsidP="00075442"/>
          <w:p w:rsidR="00197F1D" w:rsidRDefault="006D2497" w:rsidP="000754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6D2497" w:rsidP="00075442">
            <w:pPr>
              <w:rPr>
                <w:b/>
              </w:rPr>
            </w:pPr>
          </w:p>
        </w:tc>
      </w:tr>
      <w:tr w:rsidR="00495C76" w:rsidTr="00345119">
        <w:tc>
          <w:tcPr>
            <w:tcW w:w="9576" w:type="dxa"/>
          </w:tcPr>
          <w:p w:rsidR="008423E4" w:rsidRPr="00A8133F" w:rsidRDefault="006D2497" w:rsidP="0007544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D2497" w:rsidP="00075442"/>
          <w:p w:rsidR="0016478D" w:rsidRDefault="006D2497" w:rsidP="00075442">
            <w:pPr>
              <w:pStyle w:val="Header"/>
              <w:jc w:val="both"/>
            </w:pPr>
            <w:r>
              <w:t>C.S.</w:t>
            </w:r>
            <w:r>
              <w:t>H.B. 2112 am</w:t>
            </w:r>
            <w:r>
              <w:t>ends the Transportation Code to include a flood vehicle</w:t>
            </w:r>
            <w:r>
              <w:t>, as defined by the bill,</w:t>
            </w:r>
            <w:r>
              <w:t xml:space="preserve"> among the vehicles considered to b</w:t>
            </w:r>
            <w:r>
              <w:t xml:space="preserve">e a salvage motor vehicle </w:t>
            </w:r>
            <w:r>
              <w:t>for purposes of the Certificate of Title Act</w:t>
            </w:r>
            <w:r>
              <w:t xml:space="preserve">. </w:t>
            </w:r>
            <w:r>
              <w:t>The bill</w:t>
            </w:r>
            <w:r w:rsidRPr="00197F1D">
              <w:t xml:space="preserve"> </w:t>
            </w:r>
            <w:r>
              <w:t xml:space="preserve">requires </w:t>
            </w:r>
            <w:r>
              <w:t>a salvage vehicle title, salvage record of title, nonrepairable vehicle title, or nonrepairable record of title issued by the Texas Department of Motor Vehicles (TxDM</w:t>
            </w:r>
            <w:r>
              <w:t xml:space="preserve">V) for a flood vehicle or any title or record of title subsequently issued by TxDMV for a flood vehicle to bear a notation that TxDMV considers appropriate for a flood vehicle. The bill </w:t>
            </w:r>
            <w:r w:rsidRPr="00197F1D">
              <w:t>requires an entity that takes possession of a flood vehicle issued own</w:t>
            </w:r>
            <w:r w:rsidRPr="00197F1D">
              <w:t xml:space="preserve">ership documents without such </w:t>
            </w:r>
            <w:r>
              <w:t xml:space="preserve">a </w:t>
            </w:r>
            <w:r w:rsidRPr="00197F1D">
              <w:t>notation to</w:t>
            </w:r>
            <w:r>
              <w:t>:</w:t>
            </w:r>
          </w:p>
          <w:p w:rsidR="0016478D" w:rsidRDefault="006D2497" w:rsidP="0007544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197F1D">
              <w:t xml:space="preserve">submit, on a form prescribed by </w:t>
            </w:r>
            <w:r>
              <w:t>TxDMV</w:t>
            </w:r>
            <w:r w:rsidRPr="00197F1D">
              <w:t>, a report to TxDMV before the 31st day after the date the entity takes possession of the flood vehicle,</w:t>
            </w:r>
            <w:r>
              <w:t xml:space="preserve"> with certain exceptions for an insurance company or salvage pool oper</w:t>
            </w:r>
            <w:r>
              <w:t>ator; and</w:t>
            </w:r>
          </w:p>
          <w:p w:rsidR="00197F1D" w:rsidRDefault="006D2497" w:rsidP="00075442">
            <w:pPr>
              <w:pStyle w:val="Header"/>
              <w:numPr>
                <w:ilvl w:val="0"/>
                <w:numId w:val="1"/>
              </w:numPr>
              <w:jc w:val="both"/>
            </w:pPr>
            <w:r w:rsidRPr="00197F1D">
              <w:t>apply to TxDMV for the appropriate title before offering the vehicle for public sale</w:t>
            </w:r>
            <w:r>
              <w:t>,</w:t>
            </w:r>
            <w:r w:rsidRPr="00197F1D">
              <w:t xml:space="preserve"> if the entity is a lienholder in possession of the vehicle under </w:t>
            </w:r>
            <w:r>
              <w:t xml:space="preserve">an </w:t>
            </w:r>
            <w:r w:rsidRPr="00197F1D">
              <w:t>agricultural landlord, self</w:t>
            </w:r>
            <w:r>
              <w:noBreakHyphen/>
            </w:r>
            <w:r w:rsidRPr="00197F1D">
              <w:t xml:space="preserve">storage facility, </w:t>
            </w:r>
            <w:r>
              <w:t xml:space="preserve">or </w:t>
            </w:r>
            <w:r w:rsidRPr="00197F1D">
              <w:t>possessory</w:t>
            </w:r>
            <w:r>
              <w:t xml:space="preserve"> lien</w:t>
            </w:r>
            <w:r w:rsidRPr="00197F1D">
              <w:t xml:space="preserve"> or</w:t>
            </w:r>
            <w:r>
              <w:t xml:space="preserve"> a lien under the Vehicle</w:t>
            </w:r>
            <w:r>
              <w:t xml:space="preserve"> Storage Facility Act</w:t>
            </w:r>
            <w:r w:rsidRPr="00197F1D">
              <w:t>.</w:t>
            </w:r>
          </w:p>
          <w:p w:rsidR="00F5322D" w:rsidRDefault="006D2497" w:rsidP="00075442">
            <w:pPr>
              <w:pStyle w:val="Header"/>
              <w:jc w:val="both"/>
            </w:pPr>
          </w:p>
          <w:p w:rsidR="005D7041" w:rsidRDefault="006D2497" w:rsidP="00075442">
            <w:pPr>
              <w:pStyle w:val="Header"/>
              <w:jc w:val="both"/>
            </w:pPr>
            <w:r>
              <w:t>C.S.</w:t>
            </w:r>
            <w:r>
              <w:t xml:space="preserve">H.B. 2112 </w:t>
            </w:r>
            <w:r>
              <w:t>include</w:t>
            </w:r>
            <w:r>
              <w:t>s</w:t>
            </w:r>
            <w:r>
              <w:t xml:space="preserve"> </w:t>
            </w:r>
            <w:r>
              <w:t>among the required contents of the</w:t>
            </w:r>
            <w:r>
              <w:t xml:space="preserve"> report required to be submitted to TxDMV by an insurance company </w:t>
            </w:r>
            <w:r w:rsidRPr="00DE551D">
              <w:t xml:space="preserve">that </w:t>
            </w:r>
            <w:r>
              <w:t xml:space="preserve">pays a claim on a nonrepairable or salvage motor vehicle and </w:t>
            </w:r>
            <w:r w:rsidRPr="00DE551D">
              <w:t xml:space="preserve">does not acquire ownership of </w:t>
            </w:r>
            <w:r>
              <w:t xml:space="preserve">the </w:t>
            </w:r>
            <w:r w:rsidRPr="00DE551D">
              <w:t xml:space="preserve">vehicle </w:t>
            </w:r>
            <w:r>
              <w:t>a</w:t>
            </w:r>
            <w:r>
              <w:t xml:space="preserve"> determination</w:t>
            </w:r>
            <w:r>
              <w:t xml:space="preserve"> that the motor vehicle is a salvage or nonrepairable motor veh</w:t>
            </w:r>
            <w:r>
              <w:t>icle</w:t>
            </w:r>
            <w:r>
              <w:t xml:space="preserve">. The bill requires such </w:t>
            </w:r>
            <w:r>
              <w:t xml:space="preserve">an </w:t>
            </w:r>
            <w:r>
              <w:t xml:space="preserve">insurance company to provide notice to the owner of the motor vehicle of </w:t>
            </w:r>
            <w:r w:rsidRPr="00454187">
              <w:t>th</w:t>
            </w:r>
            <w:r>
              <w:t>at</w:t>
            </w:r>
            <w:r w:rsidRPr="00454187">
              <w:t xml:space="preserve"> determination </w:t>
            </w:r>
            <w:r>
              <w:t>and</w:t>
            </w:r>
            <w:r>
              <w:t xml:space="preserve"> requires TxDMV, on receipt of the required report, </w:t>
            </w:r>
            <w:r>
              <w:t>to issue for the vehicle in the name of the owner</w:t>
            </w:r>
            <w:r>
              <w:t xml:space="preserve"> an</w:t>
            </w:r>
            <w:r>
              <w:t xml:space="preserve"> applicable</w:t>
            </w:r>
            <w:r>
              <w:t xml:space="preserve"> title.</w:t>
            </w:r>
            <w:r>
              <w:t xml:space="preserve"> The bill requires TxDMV to collect the fee for the issuance of such </w:t>
            </w:r>
            <w:r>
              <w:t xml:space="preserve">a </w:t>
            </w:r>
            <w:r>
              <w:t>title or record of title and to waive the fee if the required report is submitted through TxDMV's titling system.</w:t>
            </w:r>
            <w:r>
              <w:t xml:space="preserve"> </w:t>
            </w:r>
          </w:p>
          <w:p w:rsidR="005D7041" w:rsidRDefault="006D2497" w:rsidP="00075442">
            <w:pPr>
              <w:pStyle w:val="Header"/>
              <w:jc w:val="both"/>
            </w:pPr>
          </w:p>
          <w:p w:rsidR="0089079C" w:rsidRDefault="006D2497" w:rsidP="00075442">
            <w:pPr>
              <w:pStyle w:val="Header"/>
              <w:jc w:val="both"/>
            </w:pPr>
            <w:r>
              <w:t>C.S.</w:t>
            </w:r>
            <w:r>
              <w:t>H.B. 2112</w:t>
            </w:r>
            <w:r>
              <w:t xml:space="preserve"> repeals </w:t>
            </w:r>
            <w:r>
              <w:t>an Occupations Code requirement for TxDMV to prescribe the form of the record of each</w:t>
            </w:r>
            <w:r>
              <w:t xml:space="preserve"> used</w:t>
            </w:r>
            <w:r>
              <w:t xml:space="preserve"> component part purchased by or delivered to a salvage vehicle dealer and to make the form available to those dealers. </w:t>
            </w:r>
          </w:p>
          <w:p w:rsidR="000440FC" w:rsidRDefault="006D2497" w:rsidP="00075442">
            <w:pPr>
              <w:pStyle w:val="Header"/>
              <w:jc w:val="both"/>
            </w:pPr>
          </w:p>
          <w:p w:rsidR="005D7041" w:rsidRDefault="006D2497" w:rsidP="00075442">
            <w:pPr>
              <w:pStyle w:val="Header"/>
              <w:jc w:val="both"/>
            </w:pPr>
            <w:r>
              <w:t>C.S.</w:t>
            </w:r>
            <w:r>
              <w:t>H.B. 2112 repeals</w:t>
            </w:r>
            <w:r>
              <w:t>:</w:t>
            </w:r>
            <w:r>
              <w:t xml:space="preserve"> </w:t>
            </w:r>
          </w:p>
          <w:p w:rsidR="005D7041" w:rsidRDefault="006D2497" w:rsidP="0007544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2302.254(c), Occupations Code</w:t>
            </w:r>
          </w:p>
          <w:p w:rsidR="00F5322D" w:rsidRDefault="006D2497" w:rsidP="00075442">
            <w:pPr>
              <w:pStyle w:val="Header"/>
              <w:numPr>
                <w:ilvl w:val="0"/>
                <w:numId w:val="2"/>
              </w:numPr>
              <w:jc w:val="both"/>
            </w:pPr>
            <w:r>
              <w:t>Section 501.09112, Transportation Code</w:t>
            </w:r>
            <w:r>
              <w:t>, relating to the appearance of a nonrepairable vehicle title or salvage vehicle title</w:t>
            </w:r>
            <w:r w:rsidRPr="00197F1D">
              <w:t>.</w:t>
            </w:r>
          </w:p>
          <w:p w:rsidR="008423E4" w:rsidRPr="00835628" w:rsidRDefault="006D2497" w:rsidP="00075442">
            <w:pPr>
              <w:rPr>
                <w:b/>
              </w:rPr>
            </w:pPr>
          </w:p>
        </w:tc>
      </w:tr>
      <w:tr w:rsidR="00495C76" w:rsidTr="00345119">
        <w:tc>
          <w:tcPr>
            <w:tcW w:w="9576" w:type="dxa"/>
          </w:tcPr>
          <w:p w:rsidR="008423E4" w:rsidRPr="00A8133F" w:rsidRDefault="006D2497" w:rsidP="0007544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D2497" w:rsidP="00075442"/>
          <w:p w:rsidR="008423E4" w:rsidRDefault="006D2497" w:rsidP="000754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3854B0" w:rsidRPr="00987759" w:rsidRDefault="006D2497" w:rsidP="000754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95C76" w:rsidTr="00345119">
        <w:tc>
          <w:tcPr>
            <w:tcW w:w="9576" w:type="dxa"/>
          </w:tcPr>
          <w:p w:rsidR="003F2B21" w:rsidRDefault="006D2497" w:rsidP="0007544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F68DF" w:rsidRDefault="006D2497" w:rsidP="00075442">
            <w:pPr>
              <w:jc w:val="both"/>
            </w:pPr>
          </w:p>
          <w:p w:rsidR="00FF68DF" w:rsidRDefault="006D2497" w:rsidP="00075442">
            <w:pPr>
              <w:jc w:val="both"/>
            </w:pPr>
            <w:r>
              <w:t xml:space="preserve">While </w:t>
            </w:r>
            <w:r>
              <w:t>C.S.H.B. 2112 may differ from the original in minor or nonsubstantive ways, the following summarizes the substantial differences between the introduced and committee substitute versions of the bill.</w:t>
            </w:r>
          </w:p>
          <w:p w:rsidR="00FF68DF" w:rsidRDefault="006D2497" w:rsidP="00075442">
            <w:pPr>
              <w:jc w:val="both"/>
            </w:pPr>
          </w:p>
          <w:p w:rsidR="00FF68DF" w:rsidRDefault="006D2497" w:rsidP="00075442">
            <w:pPr>
              <w:jc w:val="both"/>
            </w:pPr>
            <w:r>
              <w:t xml:space="preserve">The substitute </w:t>
            </w:r>
            <w:r>
              <w:t xml:space="preserve">revises </w:t>
            </w:r>
            <w:r>
              <w:t>the definition of</w:t>
            </w:r>
            <w:r>
              <w:t xml:space="preserve"> </w:t>
            </w:r>
            <w:r>
              <w:t>"</w:t>
            </w:r>
            <w:r>
              <w:t>flood vehicle</w:t>
            </w:r>
            <w:r>
              <w:t>"</w:t>
            </w:r>
            <w:r>
              <w:t xml:space="preserve"> to provide for the inclusion of certain vehicle</w:t>
            </w:r>
            <w:r>
              <w:t>s</w:t>
            </w:r>
            <w:r>
              <w:t xml:space="preserve"> for which an insurance company paid a claim as a result of </w:t>
            </w:r>
            <w:r>
              <w:t xml:space="preserve">water </w:t>
            </w:r>
            <w:r>
              <w:t>damage</w:t>
            </w:r>
            <w:r>
              <w:t xml:space="preserve">. </w:t>
            </w:r>
          </w:p>
          <w:p w:rsidR="00FF68DF" w:rsidRPr="00FF68DF" w:rsidRDefault="006D2497" w:rsidP="00075442">
            <w:pPr>
              <w:jc w:val="both"/>
            </w:pPr>
          </w:p>
        </w:tc>
      </w:tr>
      <w:tr w:rsidR="00495C76" w:rsidTr="00345119">
        <w:tc>
          <w:tcPr>
            <w:tcW w:w="9576" w:type="dxa"/>
          </w:tcPr>
          <w:p w:rsidR="003F2B21" w:rsidRPr="009C1E9A" w:rsidRDefault="006D2497" w:rsidP="00075442">
            <w:pPr>
              <w:rPr>
                <w:b/>
                <w:u w:val="single"/>
              </w:rPr>
            </w:pPr>
          </w:p>
        </w:tc>
      </w:tr>
      <w:tr w:rsidR="00495C76" w:rsidTr="00345119">
        <w:tc>
          <w:tcPr>
            <w:tcW w:w="9576" w:type="dxa"/>
          </w:tcPr>
          <w:p w:rsidR="003F2B21" w:rsidRPr="003F2B21" w:rsidRDefault="006D2497" w:rsidP="00075442">
            <w:pPr>
              <w:jc w:val="both"/>
            </w:pPr>
          </w:p>
        </w:tc>
      </w:tr>
    </w:tbl>
    <w:p w:rsidR="008423E4" w:rsidRPr="00BE0E75" w:rsidRDefault="006D249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D249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2497">
      <w:r>
        <w:separator/>
      </w:r>
    </w:p>
  </w:endnote>
  <w:endnote w:type="continuationSeparator" w:id="0">
    <w:p w:rsidR="00000000" w:rsidRDefault="006D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2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95C76" w:rsidTr="009C1E9A">
      <w:trPr>
        <w:cantSplit/>
      </w:trPr>
      <w:tc>
        <w:tcPr>
          <w:tcW w:w="0" w:type="pct"/>
        </w:tcPr>
        <w:p w:rsidR="00137D90" w:rsidRDefault="006D24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D249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D249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D24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D24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5C76" w:rsidTr="009C1E9A">
      <w:trPr>
        <w:cantSplit/>
      </w:trPr>
      <w:tc>
        <w:tcPr>
          <w:tcW w:w="0" w:type="pct"/>
        </w:tcPr>
        <w:p w:rsidR="00EC379B" w:rsidRDefault="006D24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D249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28458</w:t>
          </w:r>
        </w:p>
      </w:tc>
      <w:tc>
        <w:tcPr>
          <w:tcW w:w="2453" w:type="pct"/>
        </w:tcPr>
        <w:p w:rsidR="00EC379B" w:rsidRDefault="006D24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19.108.901</w:t>
          </w:r>
          <w:r>
            <w:fldChar w:fldCharType="end"/>
          </w:r>
        </w:p>
      </w:tc>
    </w:tr>
    <w:tr w:rsidR="00495C76" w:rsidTr="009C1E9A">
      <w:trPr>
        <w:cantSplit/>
      </w:trPr>
      <w:tc>
        <w:tcPr>
          <w:tcW w:w="0" w:type="pct"/>
        </w:tcPr>
        <w:p w:rsidR="00EC379B" w:rsidRDefault="006D24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D24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27763</w:t>
          </w:r>
        </w:p>
      </w:tc>
      <w:tc>
        <w:tcPr>
          <w:tcW w:w="2453" w:type="pct"/>
        </w:tcPr>
        <w:p w:rsidR="00EC379B" w:rsidRDefault="006D2497" w:rsidP="006D504F">
          <w:pPr>
            <w:pStyle w:val="Footer"/>
            <w:rPr>
              <w:rStyle w:val="PageNumber"/>
            </w:rPr>
          </w:pPr>
        </w:p>
        <w:p w:rsidR="00EC379B" w:rsidRDefault="006D24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5C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D249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D249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D249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2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2497">
      <w:r>
        <w:separator/>
      </w:r>
    </w:p>
  </w:footnote>
  <w:footnote w:type="continuationSeparator" w:id="0">
    <w:p w:rsidR="00000000" w:rsidRDefault="006D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2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2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2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0233"/>
    <w:multiLevelType w:val="hybridMultilevel"/>
    <w:tmpl w:val="36E43B7C"/>
    <w:lvl w:ilvl="0" w:tplc="20246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4DC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525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6B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0D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EA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87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CC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9CD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09FF"/>
    <w:multiLevelType w:val="hybridMultilevel"/>
    <w:tmpl w:val="4A749090"/>
    <w:lvl w:ilvl="0" w:tplc="74E04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21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58C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C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6F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EF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C99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A0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42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76"/>
    <w:rsid w:val="00495C76"/>
    <w:rsid w:val="006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0F31AF-FBBE-45C8-B193-99E76E8D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541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4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41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187"/>
    <w:rPr>
      <w:b/>
      <w:bCs/>
    </w:rPr>
  </w:style>
  <w:style w:type="paragraph" w:styleId="ListParagraph">
    <w:name w:val="List Paragraph"/>
    <w:basedOn w:val="Normal"/>
    <w:uiPriority w:val="34"/>
    <w:qFormat/>
    <w:rsid w:val="0049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3496</Characters>
  <Application>Microsoft Office Word</Application>
  <DocSecurity>4</DocSecurity>
  <Lines>84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HB02112 (Committee Report (Substituted))</vt:lpstr>
    </vt:vector>
  </TitlesOfParts>
  <Company>State of Texas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28458</dc:subject>
  <dc:creator>State of Texas</dc:creator>
  <dc:description>HB 2112 by Thompson, Ed-(H)Licensing &amp; Administrative Procedures (Substitute Document Number: 86R 27763)</dc:description>
  <cp:lastModifiedBy>Stacey Nicchio</cp:lastModifiedBy>
  <cp:revision>2</cp:revision>
  <cp:lastPrinted>2003-11-26T17:21:00Z</cp:lastPrinted>
  <dcterms:created xsi:type="dcterms:W3CDTF">2019-04-23T17:39:00Z</dcterms:created>
  <dcterms:modified xsi:type="dcterms:W3CDTF">2019-04-23T17:39:00Z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19.108.901</vt:lpwstr>
  </property>
</Properties>
</file>